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E-1248/2007 vom 18. April 2011</w:t>
      </w:r>
    </w:p>
    <w:p>
      <w:r>
        <w:t>Bundesverwaltungsgericht, 2011-04-18, DE</w:t>
      </w:r>
    </w:p>
    <w:p>
      <w:r>
        <w:rPr>
          <w:b/>
        </w:rPr>
        <w:t xml:space="preserve">Quelle: </w:t>
      </w:r>
      <w:r>
        <w:t>https://mcp.opencaselaw.ch/entscheid/bvger_E-1248_2007</w:t>
      </w:r>
    </w:p>
    <w:p>
      <w:r>
        <w:t>FR: TAF E-1248/2007 du 18 avril 2011</w:t>
      </w:r>
    </w:p>
    <w:p>
      <w:r>
        <w:t>IT: TAF E-1248/2007 del 18 aprile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ausser bei Vorliegen eines Auslieferungsersuchens des Staates, vor welchem die beschwerdeführende Person Schutz sucht (Art. 105 des Asylgesetzes vom 26. Juni 1998 [AsylG, SR 142.31]; Art. 83 Bst. d Ziff. 1 des Bundesgerichtsgesetzes vom 17. Juni 2005 [BGG, SR 173.110]). Die Beurteilung erfolgt nach neuem Verfahrensrecht (Art. 53 Abs. 2 VGG).</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105 AsylG i.V.m. Art. 37 VGG und Art. 48 Abs. 1, Art. 50 und 52 VwVG). Auf die Beschwerde ist - unter nachfolgendem Vorbehalt -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sich darauf beruft, dass durch sein Verhalten nach der Ausreise aus dem Heimat- oder Herkunftsstaat eine Gefährdungssituation erst geschaffen worden ist, macht subjektive Nachfluchtgründe geltend (vgl. Art. 54 AsylG). Per­sonen mit subjektiven Nachfluchtgründen erhalten zwar kein Asyl, werden jedoch als Flüchtlinge vorläufig aufgenommen (vgl. Entschei­dungen und Mitteilungen der ARK [EMARK] 2000 Nr. 16 E. 5a, mit weiteren Hinweisen). In diesem Sinn ist auf das Begehren, dem Beschwerdeführer sei Asyl zu gewähren, nicht einzutreten. Prüfungsgegenstand ist somit nachfolgend die Frage, ob das BFM zu Recht die Flüchtlingseigenschaft verweigerte und die Wegweisung des Beschwerdeführers sowie deren Vollzug anordnete.</w:t>
      </w:r>
    </w:p>
    <w:p>
      <w:r>
        <w:rPr>
          <w:b/>
        </w:rPr>
        <w:t>E. 3.3</w:t>
      </w:r>
    </w:p>
    <w:p>
      <w:r>
        <w:t>Der Asylausschlussgrund von Art. 54 AsylG ist absolut zu verstehen und mithin unabhängig davon anzu­wenden, ob Nachfluchtgründe missbräuchlich gesetzt worden sind oder nicht (vgl. EMARK 1995 Nr. 7 E. 7 S. 66 ff.). Es ist daher nicht entscheidend, welchen mutmasslichen Zweck die asylsuchende Person durch ihre exilpolitischen Tätigkeiten zu erreichen versucht hat. Massgebend ist vielmehr,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vgl. zum Ganzen auch BVGE 2009/28 E. 7.1. S. 352).</w:t>
      </w:r>
    </w:p>
    <w:p>
      <w:r>
        <w:rPr>
          <w:b/>
        </w:rPr>
        <w:t>E. 4.1</w:t>
      </w:r>
    </w:p>
    <w:p>
      <w:r>
        <w:t>Das Bundesamt begründete seinen ablehnenden Entscheid im Wesentlichen damit, die Mitgliedschaft des Beschwerdeführers bei der DVF würde im Falle seiner Rückkehr in den Heimatstaat zu keiner asylrechtlich relevanten Verfolgung führen. Den Akten könnten keine Hinweise entnommen werden, wonach die iranischen Behörden von dieser Mitgliedschaft Kenntnis genommen oder deswegen Massnahmen zu seinem Nachteil eingeleitet hätten. Dasselbe gelte bezüglich seinem Interesse an der Organisation von Reza Pahlavi. Hinsichtlich der Teilnahmen des Beschwerdeführers an verschiedenen Veranstaltungen dürfte es den iranischen Behörden unmöglich sein, die in den Unterlagen abgebildeten Gesichter konkreten Namen zuzuordnen. Zudem könnten sie angesichts der hohen Zahl der im Ausland lebenden iranischen Staatsangehörigen nicht jede einzelne Person überwachen und identifizieren. Es dürfte den iranischen Behörden auch bekannt sein, dass viele iranische Emigranten aus vorwiegend wirtschaftlichen Gründen versuchten, sich in Europa und speziell auch in der Schweiz zum Abschluss ihres Asylverfahrens ein dauerhaftes Aufenthaltsrecht zu erwirken, indem sie regimekritischen Aktivitäten jeglicher Art nachgingen. Die iranischen Behörden hätten indessen nur dann Interesse an der Identifizierung von Personen, wenn die Aktivitäten als konkrete Bedrohung für das politische System wahrgenommen würden. Die Aktivitäten des Beschwerdeführers würden keine konkrete Gefährdung im Falle einer Rückkehr in den Iran begründen.</w:t>
      </w:r>
    </w:p>
    <w:p>
      <w:r>
        <w:rPr>
          <w:b/>
        </w:rPr>
        <w:t>E. 4.2</w:t>
      </w:r>
    </w:p>
    <w:p>
      <w:r>
        <w:t>In der Rechtsmitteleingabe wird vorab auf die von internationalen Beobachtern und Organisationen festgestellte schlechte Menschenrechtssituation im Iran hingewiesen. Beim Beschwerdeführer handle es sich zudem um eine politisch sehr engagierte Person, deren Aktivitäten den iranischen Behörden bekannt seien. Weiter wird mit Hinweis auf einen in Deutschland lebenden Iraner, der wegen Spionage zu einer höheren Freiheitsstrafe verurteilt worden sei, geltend gemacht, auch in der Schweiz lebende Iraner würden vom iranischen Geheimdienst beobachtet. Die vom Beschwerdeführer eingereichten Beweismittel seien entsprechend zu würdigen. Im Verlaufe des Beschwerdeverfahrens machte der Beschwerdeführer geltend, er gehe einer intensiven politischen Tätigkeit nach. In einem Schreiben des N.I.D.e.V./O.I.K.e.V. in Frankfurt vom 24. März 2005 wurde die Mitgliedschaft des Beschwerdeführers bescheinigt. Dieser stehe mit der Organisation seit dem Jahre 1999 in Verbindung. Ferner habe er unter dem Titel (...) einen Artikel im Internet publiziert. In seiner Eingabe vom 14. Februar 2011 teilte der Beschwerdeführer mit, er habe die DVF wegen Meinungsverschiedenheiten verlassen. Er publiziere als aktiver Sympathisant von Ex-Moslems jedoch nach wie vor Artikel im Internet. Zudem machte er geltend, gemäss einem "Warnungsblatt" vom (...) hätte sich sein Vater am (...) beim "Justizkomplex B._______ melden" sollen. Dabei sei es um dessen Sohn - den Beschwerdeführer - gegangen. Bereits am (...) sei eine Vorladung für den (...) ergangen. Der Beschwerdeführer stellte die Originale dieser zwei Schreiben in Aussicht, konnte diese jedoch nicht nachreichen. Am 14. März 2011 hielt er diesbezüglich fest, er würde die Originale bei der Schweizerischen Botschaft in Teheran abgeben, jedoch sei diese vorgängig darüber zu informieren.</w:t>
      </w:r>
    </w:p>
    <w:p>
      <w:r>
        <w:rPr>
          <w:b/>
        </w:rPr>
        <w:t>E. 5.1</w:t>
      </w:r>
    </w:p>
    <w:p>
      <w:r>
        <w:t>Vorab ist festzustellen, dass die politische Betätigung für staats­feindliche Organisationen im Ausland seit der Neufassung des irani­schen Strafrechts im Jahr 1996 unter Strafe gestellt ist. Einschlägigen Be­richten zufolge wurden in der Vergangenheit denn auch bereits Per­sonen verhaftet, angeklagt und verurteilt, welche sich unter anderem im Internet kritisch zum iranischen Staat äusserten (vgl. Länderanalyse der Schweizerischen Flüchtlingshilfe [SFH; "Iran: Rückkehrgefährdung für AktivistInnen und Mitglieder exilpolitischer Organisationen - Informationsgewinnung iranischer Behörden" vom 4. April 2006], S. 3, mit weiteren Hinwei­sen). Es ist überdies allgemein bekannt und unbestritten, dass die ira­nischen Behörden die politischen Aktivitäten ihrer Staats­angehörigen im Ausland überwachen und systematisch erfassen. Mittels Einsatz mo­derner Software dürfte es den iranischen Behörden auch ohne Wei­teres möglich sein, die im Internet vorhandenen riesi­gen Datenmen­gen ohne allzu grossen Aufwand gezielt und umfassend zu überwa­chen und gegebenenfalls nach Stichworten zu durchsuchen. Diese Überwachung habe nach den Wahlen im Juni 2009 und diesbezüglichen Protesten zugenommen), insbesondere von regierungskritischen exilierten Personen. Diese seien gemäss Angaben des Wall Street Journal mit ähnlichen Methoden belästigt und bedroht worden (vgl. SFH; "Iran: Illegale Ausreise/Situation von Mitgliedern der PDKI/Politische Aktivitäten im Exil", SFH-Länderanalyse vom 16. November 2010). In gene­reller Hinsicht ist ferner festzuhalten, dass nach konstanter Praxis bei irani­schen Asylsuchenden das blosse Einreichen eines Asylgesu­ches kei­nen sub­jektiven Nachfluchtgrund im Sinne von Art. 54 AsylG dar­stellt (vgl. BVGE 2009/28 E. 7.4.4). Demgegenüber bleibt im Einzelfall zu prüfen, ob die in der Schweiz entwickelten exilpolitischen Aktivitä­ten bei einer allfälligen Ausschaffung in den Iran mit überwiegender Wahr­schein­lichkeit ernst­hafte Nachteile im asylrechtlichen Sinne nach sich ziehen würden (vgl. wiederum BVGE 2009/28 E.7.4.3). Es ist da­bei davon auszugehen, dass sich die iranischen Geheimdienste auf die Erfassung von Personen konzentrieren, die über die massentypischen und niedrig profilierten Erscheinungsformen exilpolitischer Proteste hinaus Funktionen wahrgenommen und/oder Aktivitäten entwi­ckelt haben, welche die jeweilige Person aus der Mas­se der mit dem Re­gime Unzufriedener herausheben und als ernst­haften und gefährli­chen Regimegegner erscheinen lassen. Somit sind die Mitgliedschaft in einer exilpolitischen Organisation, die Teilnahme an regimekriti­schen Demonstrationen und das hierbei übliche Tragen von Plakaten und Rufen von Parolen nicht für die Einschätzung einer Verfolgungsge­fahr von Bedeutung, sondern Positionen, Form und Einfluss von Aktio­nen (vgl. SFH-Länderanalyse vom 4. April 2006, S. 7).</w:t>
      </w:r>
    </w:p>
    <w:p>
      <w:r>
        <w:rPr>
          <w:b/>
        </w:rPr>
        <w:t>E. 5.2</w:t>
      </w:r>
    </w:p>
    <w:p>
      <w:r>
        <w:t>Wie dem ersten rechtskräftig abgeschlossenen Asylverfahren des Beschwerdeführers (vgl. Verfügung des BFF vom 18. April 2005 und Urteil der ARK vom 15. September 2006) entnommen werden kann, vermochte er weder eine Vorverfolgung noch eine begründete Furcht vor einer asylrelevanten Verfolgung nachzuweisen oder glaubhaft zu machen. Daher steht fest, dass er vor dem Verlassen des Heimatlandes nicht als regimefeindliche Person ins Blickfeld der iranischen Behörden respektive der iranischen Nachrichtendienste geraten ist und entsprechend durch die iranischen Behörden jedenfalls nicht als staatsgefährdender Politaktivist fichiert war.</w:t>
      </w:r>
    </w:p>
    <w:p>
      <w:r>
        <w:rPr>
          <w:b/>
        </w:rPr>
        <w:t>E. 5.3</w:t>
      </w:r>
    </w:p>
    <w:p>
      <w:r>
        <w:t>Der Beschwerdeführer beschränkt sich in seinem zweiten Asylgesuch denn auch auf seine exilpolitische Tätigkeit, die er als aktives Mitglied der DVF seit seiner Einreise in die Schweiz und als Anhänger der N.I.D.e.V./O.I.K.e.V., für die er bereits am (...) eine Willenserklärung unterzeichnet habe, ausübe. Aus der im erstinstanzlichen Verfahren sowie auf Beschwerdeebene eingereichten Dokumentation kann entnommen werden, dass er als Mitglied der DVF bis zirka im Jahre 2009 an deren zahlreichen Kundgebungen und Veranstaltungen in Schweizer Städten teilgenommen hat. Der Zweck der Veranstaltungen, der Protest gegen die iranische Regierung, ist ebenfalls ersichtlich. Weiter geht aus dem auf Beschwerdeebene eingereichten Artikel, der im Internet (auf www.k-d-panahandegan.org) erschienen ist, hervor, dass der Beschwerdeführer als Autor eines regimekritischen Beitrages in Erscheinung getreten ist. Zudem verfasse er weiterhin Artikel mit seiner politischen/religiösen Meinung im Internet. Abgesehen davon, dass er vor über einem Jahr aus der DVF ausgetreten ist, kann den Akten nicht entnommen werden, dass er bei seiner (früheren) Tätigkeit bei der DVF oder durch die Veröffentlichung von Beiträgen auf (exiliranischen) Internetseiten markant in Erscheinung getreten wäre. Es kann auch sonst nicht auf ein herausragendes oppositionelles Engagement geschlossen werden. Was im Weiteren die Mitgliedschaft bei der N.I.D.e.V./O.I.K.e.V. respektive die politische Betätigung von iranischen Staatsangehörigen in einer monarchistischen Exilgruppierung betrifft, haben diese bei einer Rückkehr in ihr Heimatland mit beachtlicher Wahrscheinlichkeit nur dann staatliche Verfolgungsmassnahmen zu befürchten, wenn sie sich bei ihrem politischen Engagement in besonders hervorgehobener Weise hervortun, insbesondere auf überregionaler Ebene Führungs- und Funktionsaufgaben in der betreffenden Organisation wahrnehmen, sich an Führungspersönlichkeiten vorbehaltenen Veranstaltungen beteiligen, an führender Stelle Verantwortung für Presseerzeugnisse, öffentliche Veranstaltungen oder wirtschaftliche Belange übernehmen oder an verantwortlicher Stelle Kontakte zu den Zentralen der monarchistischen Exilopposition in den USA unterhalten. Unterhalb dieser Ebene ausgeübte exilpolitische Tätigkeiten sind, ebenso wie die blosse Mitgliedschaft in einer monarchistischen Exilorganisation oder die Teilnahme an Veranstaltungen einer solchen Gruppierung, nicht mit dem beachtlichen Risiko einer politischen Verfolgung im Iran verbunden (vgl. dazu Urteile des Bundesverwaltungsgerichts E-8013/2007 vom 5. Mai 2008, mit weiteren Hinweisen, sowie D-2935/2007 vom 23. März 2010). Ferner unterliegen Mitglieder von Exilorganisationen von im Iran verbotenen oppositionellen Parteien, Teilnehmer von Veranstaltungen dieser Organisationen, Teilnehmer von regimekritischen Demonstrationen, welche die dabei üblichen Plakate tragen und Parolen rufen, etc., damit keiner allgemeinen Verfolgungsgefahr (vgl. SFH-Länderanalyse vom 4. April 2006). Soweit der Beschwerdeführer sein zweites Asylgesuch vom 3. Oktober 2006 damit begründete, er habe bereits vor fünf Jahren eine Willenserklärung gegenüber der O.I.K.e.V abgegeben (vgl. auch Bescheinigung der N.I.D.e.V./O.I.K.e.V. vom (...)), ist auf die oben bereits erwähnte Feststellung hinzuweisen, wonach er in seinem Heimatland nicht als politischer Aktivist und Regimegegner bekannt war. Entsprechend rechtfertigt sich der Schluss, dass er vor der Absetzung in den Westen durch die iranischen Behörden jedenfalls nicht als staatsgefährdender Politaktivist fichiert war. Seine exilpolitischen Aktivitäten können denn auch insofern mit derjenigen einer Vielzahl seiner Landsleute in Übereinstimmung gebracht werden, als sich diese nach dem Gesagten kaum und insbesondere nicht relevant von denen anderer Iraner abheben. Die von ihm verfassten und im Internet erschienenen Artikel - sollten die iranischen Behörden überhaupt davon Kenntnis erlangen respektive erlangt haben - sind aufgrund der gesamten Umstände jedenfalls nicht geeignet, ihn als Person mit klar definierten oppositionspolitischen Vorstellungen und persönlichem Agitationspotenzial, welche zu einer Gefahr für das Regime im Iran werden könnte, erscheinen zu lassen. Die durch den Beschwerdeführer öffentlich vorgetragene Kritik am Regime weist demnach insgesamt nicht den nötigen Exponierungsgrad auf, um bei den iranischen Behörden den Eindruck zu erwecken, dass er zu einer Gefahr für den Bestand ihres Regimes werde. Auch hat der Beschwerdeführer nicht zum Ausdruck gebracht, dass er oder seine im Iran verbliebenen Angehörigen auf irgendeine Weise seitens der iranischen Behörden belästigt oder bedroht worden wären (vgl. SFH-Länderanalyse vom 16. November 2010). Im Übrigen haben Exil-Iraner mit dem Profil des Beschwerdeführers bei einer Rückkehr in ihren Heimatstaat aufgrund ihrer exilpolitischen Tätigkeiten keine staatlichen Verfolgungsmassnahmen zu befürchten, zumal den iranischen Behörden mittlerweile sehr wohl bewusst sein dürfte, dass und weshalb die exilpolitische Betätigung vieler iranischer Asylbewerber nach der Ablehnung ihrer Asylgesuche oft zunimmt respektive intensiviert wird oder überhaupt erst ab diesem Zeitpunkt einsetzt (vgl. BVGE 2009/28 E. 7.4.3).</w:t>
      </w:r>
    </w:p>
    <w:p>
      <w:r>
        <w:rPr>
          <w:b/>
        </w:rPr>
        <w:t>E. 5.4</w:t>
      </w:r>
    </w:p>
    <w:p>
      <w:r>
        <w:t>Schliesslich vermag der Beschwerdeführer auch aus den am 14. Februar 2011 eingereichten Unterlagen ("Warnungsblatt" vom (...) [(...)] und Vorladung vom (...)), gemäss denen wegen seinen Aktivitäten im Ausland sein Vater gerichtlich vorgeladen worden sein soll, nichts zu seinen Gunsten abzuleiten. Einerseits ist nicht plausibel, weshalb der Beschwerdeführer nicht bereits früher auf eine solche Vorladung hingewiesen hat. Andererseits kann aufgrund der (sinngemässen) Übersetzung des "Warnungsblattes" auch nicht der Schluss gezogen werden, wonach diese Vorladung, welche bereits mehrere Monate zurückliegt, für seinen Vater Konsequenzen gehabt hätte. Jedenfalls machte der Beschwerdeführer nicht geltend, sein Vater sei seither von den iranischen Behörden noch einmal belangt worden. Aus diesen Gründen kann auf die Nachreichung der Originale dieser Beweismittel und eine Anweisung der Schweizerische Botschaft in Teheran zur Entgegennahme derselben verzichtet werden.</w:t>
      </w:r>
    </w:p>
    <w:p>
      <w:r>
        <w:rPr>
          <w:b/>
        </w:rPr>
        <w:t>E. 5.5</w:t>
      </w:r>
    </w:p>
    <w:p>
      <w:r>
        <w:t>Zusammenfassend ist festzustellen, dass die geltend gemachten subjektiven Nachfluchtgründe nicht geeignet sind, eine flüchtlingsrechtlich relevante Verfolgungsfurcht zu begründen, weshalb der Beschwerdeführer nicht als Flüchtling anerkannt werden kann und die Beschwerde abgewiesen wird. An dieser Einschätzung vermögen weder die weiteren Ausführungen in den Eingaben noch die beigelegten Beweismittel etwas zu ändern, weshalb darauf verzichtet werden kann, darauf einzugehen.</w:t>
      </w:r>
    </w:p>
    <w:p>
      <w:r>
        <w:rPr>
          <w:b/>
        </w:rPr>
        <w:t>E. 5.6</w:t>
      </w:r>
    </w:p>
    <w:p>
      <w:r>
        <w:t>Die Vorinstanz hat somit zutreffend festgestellt, der Beschwerdeführer erfülle die Flüchtlingseigenschaft nicht.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i.V.m. Art. 32 AsylV1;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Beschwer­deführer die Flüchtlingseigenschaft nicht erfüllt, weshalb das in Art. 5 AsylG verankerte Prinzip des flüchtlingsrechtlichen Non-Re­foulements im vorliegenden Verfahren keine Anwendung findet.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3818).Aus humanitären Gründen, nicht in Erfüllung völkerrechtlicher Pflichten der Schweiz, wird auf den Vollzug der Wegweisung verzichtet, wenn die Rückkehr in den Heimatstaat für den Betroffenen eine konkrete Gefährdung im Sinne von Art. 83 Abs. 4 AuG darstellt.</w:t>
      </w:r>
    </w:p>
    <w:p>
      <w:r>
        <w:rPr>
          <w:b/>
        </w:rPr>
        <w:t>E. 7.5</w:t>
      </w:r>
    </w:p>
    <w:p>
      <w:r>
        <w:t>Im Iran besteht keine Si­tuation allgemeiner Ge­walt, die sich noch dazu über das ganze Staats­gebiet oder weite Teile des­sel­ben erstre­cken würde. Eine gänz­lich unsichere, von bewaff­neten Kon­flikten oder per­ma­nent drohenden Unruhen dominierte La­ge, auf­grund derer der Be­schwerdeführer sich bei einer Rückkehr unver­meid­lich einer kon­kreten Gefährdung ausgesetzt sehen würde, be­steht mithin nicht.</w:t>
      </w:r>
    </w:p>
    <w:p>
      <w:r>
        <w:rPr>
          <w:b/>
        </w:rPr>
        <w:t>E. 7.6</w:t>
      </w:r>
    </w:p>
    <w:p>
      <w:r>
        <w:t>Aufgrund der Aktenlage besteht ferner kein Grund zur Annahme, der Beschwerdeführer gerate im Falle einer Rückkehr in den Iran aus individuellen Gründen wirtschaftlicher, sozialer oder gesundheitlicher Natur in eine existenzbedrohende Situation, welche den Vollzug der Wegweisung als unzumutbar erscheinen liesse. Beim Beschwerdeführer handelt es sich um einen jungen und den Akten zufolge gesunden Mann. Er verfügt über eine gute Schulbildung und mehrjährige Berufserfahrungen als (...) im Geschäft seines Bruders (vgl. A2, S. 3 und A6, S. 4). Zudem hat er sich in der Schweiz weitere Berufserfahrungen aneignen können. Es ist nicht in Abrede zu stellen, dass er bei einer Rückkehr in seinen Heimatstaat aufgrund seiner langen Landesabwesenheit mit gewissen Schwierigkeiten konfrontiert werden könnte. Indessen verfügt er mit seinen Eltern und seinen Brüdern, welche im Iran zurückgeblieben sind, über ein intaktes Beziehungsnetz, auf das er zurückgreifen kann (vgl. A2, S. 3 und A6, S. 3). Nach dem Gesagten erweist sich der Vollzug der Wegweisung auch als zumutbar.</w:t>
      </w:r>
    </w:p>
    <w:p>
      <w:r>
        <w:rPr>
          <w:b/>
        </w:rPr>
        <w:t>E. 7.7</w:t>
      </w:r>
    </w:p>
    <w:p>
      <w:r>
        <w:t>Schliesslich obliegt es dem Beschwerdeführer, sich bei der zuständigen Vertretung des Heimatstaates die für eine Rück­kehr not­wendigen Reisedokumente zu beschaffen (Art. 8 Abs. 4 AsylG), wes­halb deren Vollzug der Wegweisung auch als möglich zu bezeichnen ist (Art. 83 Abs. 2 AuG).</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9</w:t>
      </w:r>
    </w:p>
    <w:p>
      <w:r>
        <w:t>Bei diesem Ausgang des Beschwerdeverfahrens wären die Verfahrenskosten dem Beschwerdeführer aufzuerlegen (Art. 63 Abs. 1 und 5 VwVG). Dieser ersuchte mit seiner Rechtsmitteleingabe vom 19. März 2007 um Gewährung der unentgeltlichen Rechtspflege, welches mit verfahrensleitender Verfügung des Bundesverwaltungsgerichts vom 23. April 2007 in den Endentscheid verwiesen wurde. Nachdem sich die Rechtsbegehren vorliegend nicht von vornherein als aussichtslos erwiesen haben und aufgrund der Akten von der Bedürftigkeit des Beschwerdeführers auszugehen ist, ist der Antrag um Befreiung von den Verfahrenskosten (Art. 65 Abs. 1 VwVG) gutzuheissen und der Beschwerdeführer von der Bezahlung von Verfahrenskosten zu befreien.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