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E-1242/2014 vom 24. März 2014</w:t>
      </w:r>
    </w:p>
    <w:p>
      <w:r>
        <w:t>Bundesverwaltungsgericht, 2014-03-24, DE</w:t>
      </w:r>
    </w:p>
    <w:p>
      <w:r>
        <w:rPr>
          <w:b/>
        </w:rPr>
        <w:t xml:space="preserve">Quelle: </w:t>
      </w:r>
      <w:r>
        <w:t>https://mcp.opencaselaw.ch/entscheid/bvger_E-1242_2014</w:t>
      </w:r>
    </w:p>
    <w:p>
      <w:r>
        <w:t>FR: TAF E-1242/2014 du 24 mars 2014</w:t>
      </w:r>
    </w:p>
    <w:p>
      <w:r>
        <w:t>IT: TAF E-1242/2014 del 24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w:t>
      </w:r>
    </w:p>
    <w:p>
      <w:r>
        <w:t>Die Beschwerdeführerin beantragt den Einbezug sämtlicher sie betreffenden Verfahrensakten sowie die Anordnung eines Schriftenwechsels mit Replikrecht. Dem ersten Antrag hat das Gericht dadurch entsprochen, dass es die vorinstanzlichen Akten von Amtes wegen beigezogen hat (vgl. Art. 12 VwVG). Bei Beschwerden in Asylsachen kann das Gericht auf die Durchführung eines Schriftenwechsels verzichten (Art. 111a Abs. 2 AsylG). Vorliegend ist ein solcher nicht erforderlich, weshalb dem zweiten Antrag nicht stattzugeben ist.</w:t>
      </w:r>
    </w:p>
    <w:p>
      <w:r>
        <w:rPr>
          <w:b/>
        </w:rPr>
        <w:t>E. 3.1</w:t>
      </w:r>
    </w:p>
    <w:p>
      <w:r>
        <w:t>Mit Beschwerde kann die Verletzung von Bundesrecht sowie die unrichtige oder unvollständige Feststellung des rechtserheblichen Sachverhalts gerügt werden (Art. 106 Abs. 1 AsylG).</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5.1</w:t>
      </w:r>
    </w:p>
    <w:p>
      <w:r>
        <w:t>Die Vorinstanz gelangt in der angefochtenen Verfügung zum Schluss, dass die Vorbringen der Beschwerdeführerin den Anforderungen an die Flüchtlingseigenschaft gemäss Art. 3 AsylG offensichtlich nicht standhalten würden. In der Tat ist der Vorinstanz in ihren Ausführungen zuzustimmen, wonach der Beschwerdeführerin in Russland ein gut ausgebauter Polizeiapparat zur Verfügung steht, welcher sie gegen die Übergriffe ihres Ehemannes schützen kann. Der russische Staat ist in Fällen häuslicher Gewalt grundsätzlich schutzwillig und auch schutzfähig. Das von der Vorinstanz in diesem Zusammenhang zitierte Urteil des Bundesverwaltungsgerichts (Urteil des BVGer E-5893/2008 vom 14. Juni 2012) bezieht sich auf die Schutzwilligkeit und Schutzfähigkeit des russischen Staates gerade auch auf dem Territorium der - hier einschlägigen - russischen Teilrepublik Tschetschenien. Was die Beschwerdeführerin in der Rechtsmitteleingabe dagegen vorbringt, ist insofern unbehelflich, als sie in der Anhörung selbst ausführt, dass ihr Mann entlassen worden wäre, wenn der Quartierpolizist ihre Anzeige an die Polizeileitung weitergereicht hätte (A7/12, S. 5). Diese Einschätzung der Lage stützt also die gerichtliche Annahme einer grundsätzlichen Verfolgungsbereitschaft der lokalen staatlichen Behörden und geht zudem davon aus, dass im Fall des Untätigbleibens einer Amtsperson eine entsprechende Anzeige an die vorgesetzte Behörde nicht von vornherein zwecklos gewesen wäre, der Instanzenzug und die rechtsstaatliche Kontrolle also grundsätzlich gewährleistet sind.</w:t>
      </w:r>
    </w:p>
    <w:p>
      <w:r>
        <w:rPr>
          <w:b/>
        </w:rPr>
        <w:t>E. 5.2</w:t>
      </w:r>
    </w:p>
    <w:p>
      <w:r>
        <w:t>Sofern in der Rechtsmitteleingabe "frauenspezifische Gründe" geltend gemacht werden, bleiben diese ohne jede nähere Begründung und sind somit unbehelflich. In der in diesem Zusammenhang angeführten Beilage 3 (Einschätzung des Gesuches durch die Flüchtlingshilfe) wird vielmehr die Möglichkeit erwogen, dass die Beschwerdeführerin auch bei anderen staatlichen oder privaten Institutionen um Schutz hätte nachsuchen können. Tatsächlich hat die Beschwerdeführerin diesen Weg weder beschritten noch überhaupt erwogen. Aus der Anhörung geht hervor, dass ihr diese Möglichkeit gar nicht bewusst war (vgl. A7/12, S. 7, Antwort auf Frage 26). Auch in der russischen Föderation, vor allem in grösseren Städten, sind etliche Hilfsorganisationen vertreten, welche sich mit den Problemen häuslicher Gewalt befassen und namentlich Frauen in diesen Belangen Beratung und Unterstützung anbieten können. Die Vorinstanz hat in der angefochtenen Verfügung denn auch entsprechende Hinweise gegeben.</w:t>
      </w:r>
    </w:p>
    <w:p>
      <w:r>
        <w:rPr>
          <w:b/>
        </w:rPr>
        <w:t>E. 5.3</w:t>
      </w:r>
    </w:p>
    <w:p>
      <w:r>
        <w:t>Sofern die Beschwerdeführerin in der Rechtsmitteleingabe geltend macht, mit ihren zwei minderjährigen Kindern in Tschetschenien einer Risikogruppe anzugehören, kann auf die Ausführungen der Vorinstanz zum Wegweisungsvollzug verwiesen werden. Auch wenn es in Russland mitunter zu Übergriffen auf russische Staatsangehörige nicht slawischer Ethnie gekommen ist, kann deswegen nicht gefolgert werden, dass russische Staatsbürger kaukasischer oder zentralasiatischer Herkunft einer eigentlichen Verfolgung ausgesetzt wären. Noch viel weniger kann darauf geschlossen werden, dass die staatlichen Behörden in Russland nicht fähig und willig wären, solche Übergriffe zu verfolgen und entsprechenden Schutz zu bieten. Die Vorinstanz hat ferner zutreffend ausgeführt, dass es der Beschwerdeführerin aufgrund ihrer soliden Ausbildung und Arbeitserfahrung zugemutet werden kann, sich auch ausserhalb ihrer Heimatregion eine Existenz aufzubauen. Es kann also davon ausgegangen werden, dass für die Beschwerdeführerin und ihre minderjährigen Kinder eine innerstaatliche Zufluchtsmöglichkeit besteht, weshalb sie die Flüchtlingseigenschaft nicht erfüllen (vgl. BVGE 2011/51).</w:t>
      </w:r>
    </w:p>
    <w:p>
      <w:r>
        <w:rPr>
          <w:b/>
        </w:rPr>
        <w:t>E. 5.4</w:t>
      </w:r>
    </w:p>
    <w:p>
      <w:r>
        <w:t>Es ist somit in Übereinstimmung mit der Vorinstanz festzustellen, dass die Beschwerdeführerin keine Asylgründe geltend machen kann. Sie hat zudem nicht aufgezeigt, inwiefern die angefochtene Verfügung Bundesrecht verletzt oder sonst zu beanstanden wäre (Art. 106 Abs. 1 AsylG), weshalb die Vorinstanz die Asylgesuche zu Recht abgelehnt hat.</w:t>
      </w:r>
    </w:p>
    <w:p>
      <w:r>
        <w:rPr>
          <w:b/>
        </w:rPr>
        <w:t>E. 6</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Beschwerdeführerin noch aus den Akten ergeben sich konkrete Anhaltspunkte dafür, dass sie für den Fall einer Ausschaffung nach Russland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Weder die allgemeine Lage in Russland respektive Tschetschenien noch individuelle Gründe lassen eine konkrete Gefährdung im Fall einer Rückkehr der Beschwerdeführerin erkennen. Es kann diesbezüglich auf Erwägung 5.3 dieses Urteils sowie auf die Ausführungen der Vorinstanz verwiesen werden. Der Vollzug der Wegweisung ist somit als zumutbar zu erachten.</w:t>
      </w:r>
    </w:p>
    <w:p>
      <w:r>
        <w:rPr>
          <w:b/>
        </w:rPr>
        <w:t>E. 7.4</w:t>
      </w:r>
    </w:p>
    <w:p>
      <w:r>
        <w:t>Die Beschwerdeführerin ist im Besitz einer Identitätskarte. Es obliegt ihr sich bei der zuständigen Vertretung ihres Heimatlandes die für eine Rückkehr notwendigen Reisedokumente zu beschaffen (Art. 8 Abs. 4 AsylG; BVGE 2008/34 E. 12), weshalb der Vollzug der Wegweisung möglich ist.</w:t>
      </w:r>
    </w:p>
    <w:p>
      <w:r>
        <w:rPr>
          <w:b/>
        </w:rPr>
        <w:t>E. 7.5</w:t>
      </w:r>
    </w:p>
    <w:p>
      <w:r>
        <w:t>Zusammenfassend hat die Vorinstanz den Wegweisungsvollzug zu Recht als zulässig, zumutbar und möglich erachtet. Die Anordnung der vorläufigen Aufnahme fällt damit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Die Beschwerdeführerin beantragt die Gewährung der unentgeltlichen Rechtspflege gemäss Art. 65 VwVG. Aufgrund der vorstehenden Erwägungen ergibt sich, dass ihre Begehren als aussichtslos zu gelten haben. Damit ist eine der kumulativ zu erfüllenden Voraussetzungen zur Gewährung der unentgeltlichen Rechtspflege nicht gegeben, weshalb dem Gesuch nicht stattzugeben ist.</w:t>
      </w:r>
    </w:p>
    <w:p>
      <w:r>
        <w:rPr>
          <w:b/>
        </w:rPr>
        <w:t>E. 9.2</w:t>
      </w:r>
    </w:p>
    <w:p>
      <w:r>
        <w:t>Bei diesem Ausgang des Verfahrens sind die Kosten von Fr. 600.- (Art. 1 - 3 des Reglements vom 21. Februar 2008 über die Kosten und Entschädigungen vor dem Bundesverwaltungsgericht [VGKE], SR 173.320.2) der Beschwerdeführerin aufzuerlegen (Art. 63 Abs. 1 VwVG). Damit ist der Antrag auf Verzicht auf die Erhebung eines Kostenvorschusses gegenstandslos geworden. Gleiches gilt für die übrigen prozessualen Anträge.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