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E-123/2014 vom 25. September 2014</w:t>
      </w:r>
    </w:p>
    <w:p>
      <w:r>
        <w:t>Bundesverwaltungsgericht, 2014-09-25, DE</w:t>
      </w:r>
    </w:p>
    <w:p>
      <w:r>
        <w:rPr>
          <w:b/>
        </w:rPr>
        <w:t xml:space="preserve">Quelle: </w:t>
      </w:r>
      <w:r>
        <w:t>https://mcp.opencaselaw.ch/entscheid/bvger_E-123_2014</w:t>
      </w:r>
    </w:p>
    <w:p>
      <w:r>
        <w:t>FR: TAF E-123/2014 du 25 septembre 2014</w:t>
      </w:r>
    </w:p>
    <w:p>
      <w:r>
        <w:t>IT: TAF E-123/2014 del 25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teilt die Einschätzung der Vorinstanz, wonach der Beschwerdeführer seit seiner am (...) erfolgten Entlassung keine Probleme mehr mit seinem früheren Arbeitgeber gehabt habe (vgl. Akten BFM A8/21 S. 12), weshalb diese Vorfälle nicht mehr aktuell seien und in keinem direkten Zusammenhang zu seinem Asylgesuch stünden. Des Weiteren ist seine Befürchtung, der ukrainische Sicherheitsdienst (...) könnte ihn nach seiner Rückkehr jederzeit wegen des Vorwurfs anklagen, einen (...), in der Tat nicht nachvollziehbar, zumal er bei der Anhörung ausgesagt hatte, es sei sein früherer Arbeitgeber gewesen, der über korrupte Verbindungen zum (...) ein Verfahren gegen ihn angestrengt habe, und auf die Frage, ob der ukrainische Staat seit der Einstellung dieses Verfahrens etwas gegen ihn unternommen habe, antwortete, er habe nichts mehr mitbekommen (A8/21 S. 9). Vor diesem Hintergrund erweist sich seine Befürchtung, es bestehe aufgrund des ukrainischen Strafgesetzbuches seitens des Staates die theoretische Möglichkeit, innerhalb von (...) Jahren jederzeit ein Strafverfahren gegen ihn zu eröffnen (A8/21 S. 12), als objektiv nicht begründet. Der Beschwerdeführer machte denn auch nicht geltend, nach seiner Rückkehr im (...) irgendwelchen staatlichen Nachstellungen ausgesetzt gewesen zu sein. Hinsichtlich der Zusammenarbeit mit P. ist in Übereinstimmung mit den Ausführungen in der angefochtenen Verfügung festzustellen, dass die diesbezüglichen Aussagen des Beschwerdeführers den Anforderungen an die Glaubhaftigkeit tatsächlich nicht zu genügen vermögen. Insbesondere war er nicht in der Lage, das Verhältnis von P. und seinen Mitarbeitern zur Polizei darzulegen, seine Antworten blieben ausweichend und basierten auf unbestimmten Vermutungen. Seine Befürchtung, die Polizei könnte wegen seiner Tätigkeit für P. auf ihn aufmerksam werden, erweist sich angesichts der Tatsache, dass er sich nach seiner Rückkehr im (...) während rund (...) Monaten in der Ukraine aufhielt, ohne dort behördlichen Behelligungen ausgesetzt gewesen zu sein, als haltlos. Zudem sind seine Aussagen für diesen Zeitraum unsubstanziiert und teilweise widersprüchlich ausgefallen. So erklärte er anlässlich der Anhörung zuerst, nach seiner Rückkehr habe ihn ein Kollege von P. namens A. kontaktiert und ihn über den Tod von P. informiert (A8/21 S. 7). Später gab er an, er selber habe Kontakt mit A. aufgenommen und so vom Tod von P. erfahren (A8/21 S. 18). Des Weiteren ist festzustellen, dass der Beschwerdeführer nicht in der Lage war, substanziierte Angaben zu den Kollegen von P. zu machen, selbst beim Namen der Kontaktperson handle es sich seinen Angaben zufolge lediglich um einen Decknamen (A8/21 S. 15). Vage sind auch seine Hinweise auf die Forderungen dieser Personengruppe nach dem Tod von P. geblieben, zumal er diesbezüglich lediglich aussagte, er habe grössere Geldsummen überweisen müssen ((A8/21 S. 15 und 16). Die Schlussfolgerung des Bundesamtes, angesichts der behaupteten Druckausübung auf seine Person hätten konkretere Angaben von ihm erwartet werden dürfen, erweist sich als zutreffend. Ergänzend kann diesbezüglich festgestellt werden, dass den Kollegen von P. von (...) bis September 2012 genügend Zeit zur Verfügung gestanden wäre, ihm etwas anzutun, sollten sie diesbezüglich ein Interesse an seiner Person gehabt haben. Was den Vorfall mit seinem Vater anbelangt, vermag der Beschwerdeführer allein aufgrund des Umstandes, dass dieser möglicherweise zu mild bestraft worden sei und der Staat nicht oder kaum aktiv geworden sei, obwohl sein Vater möglicherweise die Busse nicht bezahlt habe, keine asylrelevante Nachteile im Sinne des Asylgesetzes darzutun. Des Weiteren ist auch der Feststellung des Bundesamtes beizupflichten, wonach die eingereichten Dokumente an dieser Beurteilung nicht zu ändern vermöchten. So ist festzustellen, dass sämtliche Gerichtsurteile und auch das Schreiben des Sekretariates des Europäischen Gerichtshofes für Menschenrechte inhaltlich die Auseinandersetzung zwischen dem Beschwerdeführer und der Wache am ehemaligen Arbeitsort betreffen. Sie sind deshalb angesichts der vorstehenden Erwägungen nicht geeignet, asylrelevante Nachteile darzutun. Gleich verhält es sich mit den Beschwerdeschriften des Beschwerdeführers an den Vorsitzenden des ehemaligen Arbeitgebers vom (...) und an das Appellationsgericht des Gebietes von C._______ vom (...). Zudem sind auch die eingereichten Fotos von unbekannten Personen mit Maschinengewehren mangels Bezugs zur Person des Beschwerdeführers nicht geeignet, Asylgründe darzutun.</w:t>
      </w:r>
    </w:p>
    <w:p>
      <w:r>
        <w:rPr>
          <w:b/>
        </w:rPr>
        <w:t>E. 5.2</w:t>
      </w:r>
    </w:p>
    <w:p>
      <w:r>
        <w:t>Die Rechtsmitteleingabe ist nicht geeignet, an dieser Beurteilung etwas zu ändern. Wie bereits in der Zwischenverfügung vom 1. April 2014 nach einer summarischen Prüfung der Akten ausgeführt wurde, hat der Beschwerdeführer sein Asylgesuch erst rund ein Jahr nach seiner Ausreise aus der Ukraine und kurze Zeit vor Ablauf seiner bis am 30. September 2013 gültigen Aufenthaltsbewilligung für Studenten eingereicht, was sich nicht mit dem Verhalten einer tatsächlich verfolgten Person vereinbaren lässt. Mangels substanziierter Entgegnungen in der Beschwerde kann an dieser Stelle zur Vermeidung von Wiederholungen vollumfänglich auf die zutreffenden Erwägungen in der angefochtenen Verfügung verwiesen werden. Mit seinem Erklärungsversuch auf Seite 9 der Beschwerdeschrift, es sei im Auto des Kollegen namens A. gewesen, als er vom Tod von P. erfahren habe, vermag er den vom BFM aufgezeigten Widerspruch in seinen diesbezüglichen Aussagen nicht zu entkräften. Mit den zur Stützung der Beschwerdevorbringen eingereichten Schriftstücken (Kopie eines russischen Reisepasses, eines "Labor Certificate" und Kopien der bereits im erstinstanzlichen Verfahren zu den Akten gereichten Dokumente) gelingt es dem Beschwerdeführer offensichtlich nicht, etwas zu seinen Gunsten abzuleiten. Vor diesem Hintergrund erübrigt sich eine weitere Auseinandersetzung mit den Vorbringen des Beschwerdeführers.</w:t>
      </w:r>
    </w:p>
    <w:p>
      <w:r>
        <w:rPr>
          <w:b/>
        </w:rPr>
        <w:t>E. 5.3</w:t>
      </w:r>
    </w:p>
    <w:p>
      <w:r>
        <w:t>Dem Beschwerdeführer ist es nicht gelungen, flüchtlingsrelevante Gründe darzutun, weshalb das BFM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Selbst in Berücksichtigung der bewaffneten Auseinandersetzungen zwischen Separatisten und der ukrainischen Armee im Osten des Landes kann nicht von einer Situation allgemeiner Gewalt oder von bürgerkriegsähnlichen Verhältnissen in der Ukraine gesprochen werden. In den Akten finden sich zudem keine konkreten Anhaltspunkte dafür, der aus C._______ stammende Beschwerdeführer gerate bei einer Rückkehr aus individuellen Gründen in eine existenzbedrohende Situation. Insbesondere ist festzustellen, dass er seine Studienaufenthalte in der Schweiz ohne Schwierigkeiten finanzieren konnte und in C._______ mit seinen (...) (Akten BFM A4/9 S. 7) über ein tragfähiges verwandtschaftliches Beziehungsnetz verfügt. Damit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Mit Zwischenverfügung vom 1. April 2014 wurden die Anträge auf Gewährung der unentgeltlichen Prozessführung im Sinne von Art. 65 Abs. 1 VwVG und auf Verzicht auf die Erhebung eines Kostenvorschusses zufolge Aussichtslosigkeit der Beschwerde abgewiesen, womit auch der (noch nicht explizit behandelte) Antrag auf anwaltliche Rechtsverbeiständung im Sinne von Art. 65 Abs. 2 VwVG mangels Vorliegens der dafür erforderlichen Voraussetzungen abzuweisen ist. 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am 14. April 2014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