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E-1233/2024 vom 18. März 2024</w:t>
      </w:r>
    </w:p>
    <w:p>
      <w:r>
        <w:t>Bundesverwaltungsgericht, 2024-03-18, FR</w:t>
      </w:r>
    </w:p>
    <w:p>
      <w:r>
        <w:rPr>
          <w:b/>
        </w:rPr>
        <w:t xml:space="preserve">Quelle: </w:t>
      </w:r>
      <w:r>
        <w:t>https://mcp.opencaselaw.ch/entscheid/bvger_E-1233_2024</w:t>
      </w:r>
    </w:p>
    <w:p>
      <w:r>
        <w:t>FR: TAF E-1233/2024 du 18 mars 2024</w:t>
      </w:r>
    </w:p>
    <w:p>
      <w:r>
        <w:t>IT: TAF E-1233/2024 del 18 marzo 2024</w:t>
      </w:r>
    </w:p>
    <w:p>
      <w:pPr>
        <w:pStyle w:val="Heading2"/>
      </w:pPr>
      <w:r>
        <w:t>Regeste</w:t>
      </w:r>
    </w:p>
    <w:p>
      <w:r>
        <w:t>Asile et renvoi (procédure accélérée)</w:t>
      </w:r>
    </w:p>
    <w:p>
      <w:pPr>
        <w:pStyle w:val="Heading2"/>
      </w:pPr>
      <w:r>
        <w:t>Erwägungen</w:t>
      </w:r>
    </w:p>
    <w:p>
      <w:r>
        <w:rPr>
          <w:b/>
        </w:rPr>
        <w:t>E. 27</w:t>
      </w:r>
    </w:p>
    <w:p>
      <w:r>
        <w:t>janvier 2022 consid. 3.1), ce que le recourant ne prétend pas en l’espèce (cf. p-v d’audition précité, R 111),</w:t>
      </w:r>
    </w:p>
    <w:p>
      <w:r>
        <w:t>E-1233/2024 Page 8 que, dans ces conditions, il n’y a pas de raison d’admettre que l’intéressé puisse éprouver, à bon droit, la crainte fondée d’une persécution future, celui-ci n’ayant jamais été la cible de persécutions avant son départ et aucun élément ne permettant de retenir que les autorités le recherchent ou envisagent de l’interpeller à son retour, étant encore souligné qu’il est établi par pièce au dossier que son casier judiciaire est vierge et qu’il n’a pas allégué faire l’objet d’une procédure en Turquie, que finalement, il ne ressort pas non plus du dossier que le recourant se trouverait exposé à un risque de persécution réfléchie en raison de l’engagement politique de son père et des éventuelles procédures ouvertes contre ce dernier, que, pour le surplus, il convient de renvoyer à la décision attaquée, celle-ci étant suffisamment motivée (art. 109 al. 3 LTF, par renvoi de l’art. 4 PA) et le recours ne contenant aucun nouvel élément propre à en remettre en cause le bien-fondé, qu'au vu de ce qui précède, le recours est rejeté en tant qu'il conteste le refus de reconnaissance de la qualité de réfugié et d’octroi de l'asile, que lorsqu’il rejette une demande d’asile ou qu’il refuse d’entrer en matière à ce sujet, le SEM prononce le renvoi de Suisse et en ordonne l’exécution, en tenant compte du principe de l’unité de la famille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le recourant n'ayant comme évoqué pas rendu vraisemblable qu'il serait, en cas de retour dans son pays, exposé à de sérieux préjudices au sens de l'art. 3 LAsi, que, pour les mêmes raisons, la recourant n'a pas non plus rendu crédible qu’il existerait pour lui un véritable risque concret et sérieux d'être victime, en cas de retour dans son pays d'origine, de traitements inhumains ou dégradants (art. 3 CEDH et art. 3 [ainsi que 16 allégué] de la Convention du 10 décembre 1984 contre la torture et autres peines ou traitements cruels, inhumains ou dégradants [Conv. torture, RS 0.105]),</w:t>
      </w:r>
    </w:p>
    <w:p>
      <w:r>
        <w:t>E-1233/2024 Page 9 que l'exécution du renvoi s'avère donc licite (art. 83 al. 3 LEI [RS 142.20] ; cf. ATAF 2014/28 consid. 11), qu'elle est également raisonnablement exigible (art. 83 al. 4 LEI ; cf. ATAF 2011/50 consid. 8.1 à 8.3 et jurisp. cit.), qu'en effet, la Turquie ne se trouve actuellement pas en proie à une guerre, une guerre civile ou une situation de violence généralisée, sur l’ensemble de son territoire, qu'il ne ressort par ailleurs pas non plus du dossier que l'intéressé pourrait être mis en danger pour des motifs qui lui seraient propres, qu’étant jeune et au bénéfice de plusieurs expériences professionnelles dans son pays ainsi que d’un réseau familial et social sur place, il devrait être en mesure de subvenir à ses besoins par lui-même, ce d’autant plus qu’il est sans charge de famille et qu’il pourra retourner vivre avec sa mère et ses frère et sœur dans l’appartement qu’il occupait avant son départ du pays, qu’au demeurant, ni les problèmes physiques (scoliose) ni psychiques (stress) dont souffre le recourant ne nécessitent des soins particuliers, étant souligné que ces derniers troubles semblent être liés au rejet de sa demande d’asile par le SEM (cf. mémoire de recours),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également sur le principe du renvoi et l’exécution de cette mesure, que s'avérant manifestement infondé, il l'est dans une procédure à juge unique, avec l'approbation d'une seconde juge (art. 111 let. e LAsi),</w:t>
      </w:r>
    </w:p>
    <w:p>
      <w:r>
        <w:t>E-1233/2024 Page 10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 page suivante)</w:t>
      </w:r>
    </w:p>
    <w:p>
      <w:r>
        <w:t>E-1233/2024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