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E-1227/2014 vom 29. Februar 2016</w:t>
      </w:r>
    </w:p>
    <w:p>
      <w:r>
        <w:t>Bundesverwaltungsgericht, 2016-02-29, DE</w:t>
      </w:r>
    </w:p>
    <w:p>
      <w:r>
        <w:rPr>
          <w:b/>
        </w:rPr>
        <w:t xml:space="preserve">Quelle: </w:t>
      </w:r>
      <w:r>
        <w:t>https://mcp.opencaselaw.ch/entscheid/bvger_E-1227_2014</w:t>
      </w:r>
    </w:p>
    <w:p>
      <w:r>
        <w:t>FR: TAF E-1227/2014 du 29 février 2016</w:t>
      </w:r>
    </w:p>
    <w:p>
      <w:r>
        <w:t>IT: TAF E-1227/2014 del 29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Einholung einer Vernehmlassung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Ent­scheids im Wesentlichen aus, dass das politische Engagement des Beschwerdeführers für die DVPA nie das für gewöhnliche Parteimitglieder übliche Mass überschritten habe. So habe er nicht eine Position bekleidet, aufgrund derer er verdächtigt sein könnte, im damaligen Regime Menschenrechtsverletzungen begangen zu haben, womit er von den Opfern des ehemaligen kommunistischen Regimes auch nicht mit diesem identifiziert werde. Für diese Einschätzung spreche, dass er nach dem Sturz des kommunistischen Regimes noch zwei- bis dreieinhalb Jahre lang habe in Afghanistan als (...) tätig sein können. Ferner hätten sich seine Familienangehörigen nach der Rückkehr aus dem Iran wieder in die afghanische Gesellschaft eingliedern können, da er angegeben habe, der jüngste Bruder habe studiert und der mittlere sei als (...) tätig gewesen. Konstruiert erscheine sodann die erst in der Anhörung vorgebrachte Behauptung, wonach er im Jahre 2006 im Iran erfahren habe, dass man einen Killer dorthin beordert habe, der ihn habe suchen und umbringen sollen. Einerseits habe er dies anlässlich der ersten Befragung nicht erwähnt, anderseits wäre ein solcher Aufwand, ein gewöhnliches Mitglied der DVPA im Ausland zu eliminieren, als übertrieben zu taxieren. Zudem sei er trotz der angeblichen Gefahr noch ein Jahr im Iran geblieben, was nicht plausibel wäre. Das nächtliche Erscheinen von langbärtigen Männern in Polizeiuniformen bei seiner Familie, genüge nicht, um eine konkrete Gefährdung für sie darzustellen. Auch seitens der Angehörigen des vor ein paar Jahren vergifteten Kommandanten sollten ihm zum heutigen Zeitpunkt keine Nachteile mehr drohen. So habe der Beschwerdeführer vor mehr als zwanzig Jahren Afghanistan verlassen, weshalb zweifelhaft sei, ob ihn damalige Gegner heute bei einer Rückkehr überhaupt noch erkennen würden. Der letzten Konfrontation und dem Angriff des Kommandanten seien gemäss seiner Annahme persönliche Motive (Blutrache) zugrunde gelegen, die ohnehin nicht asylbeachtlich seien. Somit würden die Vorbringen des Beschwerdeführers den Anforderungen an die Flüchtlingseigenschaft nicht standhalten, weshalb es sich erübrige, auf Ungereimtheiten in seinem Asylvortag näher einzugehen.</w:t>
      </w:r>
    </w:p>
    <w:p>
      <w:r>
        <w:rPr>
          <w:b/>
        </w:rPr>
        <w:t>E. 5.2</w:t>
      </w:r>
    </w:p>
    <w:p>
      <w:r>
        <w:t>Vorab wiederholt der Beschwerdeführer in seiner Eingabe nochmals den bereits vom BFM festgehaltenen Lebenslauf (Sachverhalt). Gegen die vorinstanzlichen Erwägungen wendet er sodann ein, dass die Angehörigen der demokratischen Partei als Kommunisten bezeichnet worden seien, was als Schimpfwort für die Ungläubigen, die keine Ehre hätten, zu verstehen sei. Da der Beschwerdeführer sich damals, als die Russen in Afghanistan gewesen seien, geweigert habe, bei der Hezb-e-Islami mitzumachen, habe er seine Position offengelegt, was die Afghanen normalerweise vermeiden würden. Durch die Konflikte zwischen seiner Familie und der Familie des hochgestellten paschtunischen Dschihad Kommandanten D._______ sei er nicht mehr nur ein unbekannter Anhänger der DVPA, der sich in der Anonymität der Masse verstecken könne. Alles was damals zwischen den Mudjaheddins und der damaligen Regierung geschehen sei, die Ehrverletzungen und Kriegsverbrechen, sei nicht vergessen. So stelle seine Verteidigungstat (Messerstich gegen den Kommandanten) eine unverzeihliche Ehrverletzung dar, die vom gegnerischen Clan gerächt werden müsse. Die Brüder des ermordeten Kommandanten D._______ seien inzwischen Regierungsmitglieder und hätten die Ehrverletzung ihres Bruders sicher nicht vergessen. Hinsichtlich der Zweifel der Vorinstanz, dass die Gegner einen Killer beauftragt hätten, um ihn im Iran umzubringen, sei festzuhalten, dass die Taliban genügend einsatzbereite Kräfte hätten, um Feinde auch im Iran und in Pakistan zu verfolgen (vgl. Beilage von Wahed Faizi). Bei der nächtlichen Durchsuchung der Wohnung der Familie in Kabul handle es sich nicht nur, wie es das BFM bezeichne, um einen Verdacht. Solche Vorkommnisse wie nächtliche Verhaftungen, Ermordungen und Entführungen in Kabul würden in der Praxis häufig vorkommen, weshalb dieser Zwischenfall nicht zu unterschätzen sei. 6.1 Nach Lehre und Praxis sind Befürchtungen, künftig staatlichen Verfolgungsmassnahmen ausgesetzt zu werden, flüchtlingsrechtlich nur dann 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Ob in einem bestimmten Fall eine solche Wahrscheinlichkeit besteht, ist grundsätzlich aufgrund einer objektivierten Betrachtungsweise zu beurteilen (vgl. Entscheidungen und Mitteilungen der Schweizerischen Asylrekurskommission [EMARK] 2004 Nr. 1 S. 9, mit weiteren Hinweisen). 6.1.1 Vor diesem Hintergrund ist festzustellen, dass der Beschwerdeführer - zunächst ungeachtet der Frage der Glaubhaftigkeit der Vorbringen - weder bei den Anhörungen noch auf Beschwerdeebene konkrete Anhaltspunkte für eine noch heute bestehende individuelle Gefährdung durch die Hezb-e-Islami oder von Seiten Hekmatyars, der nun die heutige Regierung unterstützen sollte, nennen konnte. Er hat in diesem Zusammenhang dargelegt, dass die Brüder des Kommandanten, der im Jahre 1982 seinen Vater getötet und ihn anfangs der Neunziger Jahre tätlich angegriffen habe, heute an der Macht seien und ihn verfolgen würden. Hierzu ist festzuhalten, dass sich der Beschwerdeführer seit 23 Jahren nicht mehr in seinem Heimatland aufgehalten hat. Der besagte Kommandant soll im Jahre 2010 vergiftet worden sein, weil er offenbar noch viele andere Feinde gehabt habe. Vor diesem Hintergrund ist nicht nachvollziehbar, dass die Brüder ausgerechnet den abwesenden Beschwerdeführer in Zusammenhang mit der Vergiftung ihres Bruders hätten bringen und ihn noch heute verfolgen sollten. Der Beschwerdeführer hat diesbezüglich auch nichts Konkretes geltend gemacht. 6.1.2 Hinsichtlich der angeblichen Suche nach ihm durch Islamisten, die bei seiner Familie erschienen seien, handelt es sich, wie die Vorinstanz zutreffend festgehalten hat, um Mutmassungen, da keineswegs ersichtlich ist, was und wen sie gesucht haben sollen. Aufgrund der Ausführungen in der Anhörung kann vielmehr darauf geschlossen werden, dass es sich hier um Routinekontrollen gehandelt hat (vgl. A34/12; Fragen und Antworten: 14-16). 6.1.3 Schliesslich ist seine Furcht vor Rache durch Angehörige der damaligen Opfer, weil er nach dem Einmarsch der russischen Truppen in Afghanistan im Jahre 1979 eher auf der Seite der prorussischen DVPA gestanden habe, völlig unbegründet, da der Beschwerdeführer hierzu lediglich vage Aussagen machte, und angab, Rache zu befürchten, weil er damals aus dem Gefängnis geflüchtet sei und einem verletzten russischen Soldaten geholfen habe (vgl. A1/12, S. 7 f.). Allein aus diesem Umstand, ohne dass er in irgendwelche regimefeindlichen Aktivitäten verwickelt gewesen wäre, kann objektiv nicht auf eine individuelle, noch heute bestehende Gefährdung des Beschwerdeführers geschlossen werden. 6.2 An diesen Feststellungen vermögen auch die eingereichten Beweismittel - und insbesondere die Bestätigungsschreiben eines Parlamentariers, (...) und (...) - nichts zu ändern, da diese weder die Aktualität noch die Gezieltheit der angeblichen Behelligung nachweisen. Ebenfalls ist auch der Beweiswert der Videoaufnahmen, wonach die Hezb-e-Islami ihre Macht festige und dies für die Gegner der fundamentalistischen islamischen Parteien schwierig sein werde, als gering einzustufen, und vermag den Ausgang des vorliegenden Verfahrens nicht zu ändern. 6.3 Zusammenfassend ist festzuhalten, dass es dem Beschwerdeführer nicht gelungen ist, eine im Sinne von Art. 3 AsylG relevante Verfolgungsgefahr nachzuweisen oder glaubhaft darzutun. Das BFM hat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Beschwerdeführer wurde vom BFM mit Entscheid vom 12. Februar 2014 wegen Unzumutbarkeit des Wegweisungsvollzuges vorläufig in der Schweiz aufgenommen, weshalb sich vorliegend Ausführungen zum Vollzug der Wegweisung erübrigen.</w:t>
      </w:r>
    </w:p>
    <w:p>
      <w:r>
        <w:rPr>
          <w:b/>
        </w:rPr>
        <w:t>E. 9</w:t>
      </w:r>
    </w:p>
    <w:p>
      <w:r>
        <w:t>Aus diesen Erwägungen ergibt sich, dass die angefochtene Verfügung Bundesrecht nicht verletzt und auch sonst nicht zu beanstanden ist (Art. 106 Abs. 1 AsylG, Art. 49 VwVG).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vom 20. März 2014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