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E-1221/2022 vom 27. April 2022</w:t>
      </w:r>
    </w:p>
    <w:p>
      <w:r>
        <w:t>Bundesverwaltungsgericht, 2022-04-27, DE</w:t>
      </w:r>
    </w:p>
    <w:p>
      <w:r>
        <w:rPr>
          <w:b/>
        </w:rPr>
        <w:t xml:space="preserve">Quelle: </w:t>
      </w:r>
      <w:r>
        <w:t>https://mcp.opencaselaw.ch/entscheid/bvger_E-1221_2022</w:t>
      </w:r>
    </w:p>
    <w:p>
      <w:r>
        <w:t>FR: TAF E-1221/2022 du 27 avril 2022</w:t>
      </w:r>
    </w:p>
    <w:p>
      <w:r>
        <w:t>IT: TAF E-1221/2022 del 27 aprile 2022</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w:t>
      </w:r>
    </w:p>
    <w:p>
      <w:r>
        <w:t>E-1221/2022 Seite 4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Auf den Antrag die aufschiebende Wirkung betreffend (vgl. Beschwerde S. 13) ist nicht einzutreten, da diese der Beschwerde nicht entzogen wurde (vgl. Art. 55 VwVG).</w:t>
      </w:r>
    </w:p>
    <w:p>
      <w:r>
        <w:rPr>
          <w:b/>
        </w:rPr>
        <w:t>E. 5</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(BVGE 2010/57 E. 2.2 und 2.3).</w:t>
      </w:r>
    </w:p>
    <w:p>
      <w:r>
        <w:rPr>
          <w:b/>
        </w:rPr>
        <w:t>E. 6.1</w:t>
      </w:r>
    </w:p>
    <w:p>
      <w:r>
        <w:t>Nach Prüfung der Akten durch das Gericht ist in Übereinstimmung mit der Vorinstanz festzustellen, dass die Asylvorbringen des Beschwerdefüh- rers den Anforderungen an das Glaubhaftmachen gemäss Art. 7 AsylG nicht standzuhalten vermögen, weshalb vorab auf die zutreffenden Erwä-</w:t>
      </w:r>
    </w:p>
    <w:p>
      <w:r>
        <w:t>E-1221/2022 Seite 5 gungen der Vorinstanz zu verweisen ist. Die vorinstanzliche Schlussfolge- rung ist weder in tatsächlicher noch in rechtlicher Hinsicht zu beanstanden. Die Beschwerdevorbringen sind nicht geeignet, zu einer von der Vorinstanz abweichenden Betrachtungsweise zu gelangen. Der Beschwerdeführer moniert in formeller Hinsicht, die Vorinstanz habe seine in Aussicht gestell- ten Beweismittel nicht abgewartet beziehungsweise nicht gewürdigt, womit sie den Sachverhalt nicht ausreichend festgestellt und das rechtliche Ge- hör verletzt habe. Es trifft zwar zu, dass er in der Anhörung zu den Asyl- gründen ein Gerichtsurteil in Aussicht stellte. Dieses hat er indessen weder im vorinstanzlichen Verfahren noch auf Beschwerdeebene einreicht, ob- wohl er hierzu bereits im vorinstanzlichen Verfahren ausreichend Zeit ge- habt hätte (vgl. zur diesbezüglichen Mitwirkungspflicht Art. 8 Abs. 1 Bst. d AsylG). Die Behauptung, man habe ihm damals gesagt, die Einreichung dieses Beweismittels sei vorerst nicht notwendig, erweist sich als akten- widrig (vgl. SEM-eAkten A21/18 F52 f.). Zudem wurden die angeblich vor- handenen Beweismittel in der Beschwerde weder ansatzweise konkreti- siert noch in Aussicht gestellt. Schliesslich liegt auch in dem Umstand, dass die Vorinstanz nach einer gesamtheitlichen Würdigung der aktenkundigen Parteivorbringen zu einem anderen Schluss gelangt als der Beschwerde- führer, weder eine Verletzung des rechtlichen Gehörs noch eine unrichtige oder unvollständige Sachverhaltsfeststellung. Die Vorinstanz hat den Sachverhalt ausreichend festgestellt; es liegt keine Gehörsverletzung vor. Die entsprechenden Rügen sind unbegründet.</w:t>
      </w:r>
    </w:p>
    <w:p>
      <w:r>
        <w:rPr>
          <w:b/>
        </w:rPr>
        <w:t>E. 6.2</w:t>
      </w:r>
    </w:p>
    <w:p>
      <w:r>
        <w:t>Aufgrund des dargelegten Sachverhalts ist davon auszugehen, dass dieser anhand von verschiedenen Beweismitteln hätte belegt werden kön- nen. Der Beschwerdeführer hat indessen bis heute keine entsprechenden Beweismittel eingereicht und deren Ausbleiben in der Beschwerde auch nicht ansatzweise erklärt, was erste Zweifel an den geltend gemachten Fluchtgründen zulässt. Hinzu kommt, dass der Beschwerdeführer vor der Mitnahme durch die Sicherheitskräfte weder in Haft war noch Probleme mit den Behörden hatte und seine Ausführungen auch nicht darauf schliessen lassen, dass er einer Familie mit entsprechenden Problemen entstammt. Vor diesem Hintergrund ist das plötzliche und derart brutale Vorgehen der Behörden gegen ihn nicht nachvollziehbar (vgl. a.a.O. F73 f.). Ebenfalls gegen die dargelegten Probleme mit den Behörden spricht, dass der Be- schwerdeführer seinen Reisepass zwei Wochen vor seiner Ausreise prob- lemlos hat verlängern lassen können und mit seiner gesamten Kernfamilie gestaffelt und legal ohne geschilderte Hürden ausreisen konnte (vgl. z. B. a.a.O. F56 S. 11 und F51). Zudem konnte seine in der Schweiz lebende</w:t>
      </w:r>
    </w:p>
    <w:p>
      <w:r>
        <w:t>E-1221/2022 Seite 6 Schwester problemlos in den Irak fliegen und am 15. Januar 2022 zurück- kehren (vgl. a.a.O. F30). Des Weiteren ist es nicht nachvollziehbar, wes- halb die Behörden einzig den Beschwerdeführer und den Tankstellenbe- treiber befragt haben sollen, gab es an der Tankstelle doch sowohl zustän- diges Sicherheitspersonal (Wachmänner) als auch Überwachungskame- ras; die entsprechenden Erklärungsversuche des Beschwerdeführers ver- mögen sodann auch nicht zu überzeugen (vgl. a.a.O. F64, F66 und F72). Was schliesslich die Ausführungen zu der angeblichen Drohung durch die Familie von S. anbelangt – die einzig per Telefon ausgesprochen worden sein soll – sind diese oberflächlich ausgefallen und hinterlassen einen ste- reotypen Eindruck; ihnen ist bereits aus diesem Grund die Glaubhaftigkeit abzusprechen. Im Übrigen hätten diese – sofern sie tatsächlich ausgespro- chen worden wären – bei den Behörden gemeldet werden können. Nach dem Gesagten ist nicht davon auszugehen, dass ein Haftbefehl gegen den Beschwerdeführer und seinen Vater vorliegt (vgl. a.a.O. F56 S. 11). Die Beschwerde vermag diese Erwägungen nicht zu entkräften, da sie lediglich an der Glaubhaftigkeit der gemachten Aussagen festhält, indem sie entwe- der das bereits bei den Befragungen Dargelegte wiederholt, die von der Vorinstanz aufgeführten Ungereimtheiten nicht nachvollziehbar zu erklären vermag oder sich in weiteren Mutmassungen erschöpft.</w:t>
      </w:r>
    </w:p>
    <w:p>
      <w:r>
        <w:rPr>
          <w:b/>
        </w:rPr>
        <w:t>E. 6.3</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 stätigen. Die Vorinstanz hat das Asylgesuch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w:t>
      </w:r>
    </w:p>
    <w:p>
      <w:r>
        <w:t>E-1221/2022 Seite 7 richts der gleiche Beweisstandard wie bei der Prüfung der Flüchtlingsei- genschaft; das heisst, sie sind wenigstens glaubhaft zu machen (vgl. BVGE 2011/24 E. 10.2 m.w.H.).</w:t>
      </w:r>
    </w:p>
    <w:p>
      <w:r>
        <w:rPr>
          <w:b/>
        </w:rPr>
        <w:t>E. 8.2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in den Irak dort mit beachtlicher Wahrscheinlichkeit einer nach Art. 3 EMRK oder Art. 1 FoK verbotenen Strafe oder Behandlung ausge- setzt wäre. Der Vollzug der Wegweisung ist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Die Vorinstanz stellt in der angefochtenen Verfügung fest, die Kon- fliktlage im Irak zeichne sich durch grosse Dynamik und Volatilität aus, wo- mit allgemeine Aussagen über die Sicherheits- und Menschenrechtslage rasch ihre Gültigkeit verlieren könnten. Trotz grosser Flüchtlingswelle in die Autonome Region Kurdistan (ARK) sei die Sicherheits- und Versorgungs- lage für Einheimische nicht derart gravierend, dass generell von einer kon- kreten Gefährdung im Sinne von Art. 83 Abs. 4 AIG gesprochen werden könne. Die Lage in den angrenzenden Distrikten in den Provinzen Ninawa, Salah ad-Din und Diyala habe sich zudem dahingehend wesentlich verän- dert, dass der Krieg gegen die Terrormiliz Islamischer Staat als Territorial- macht von der irakischen Regierung als beendet erklärt worden sei. Auch wenn nach wie vor das Risiko von terroristischen Anschlägen bestehe und</w:t>
      </w:r>
    </w:p>
    <w:p>
      <w:r>
        <w:t>E-1221/2022 Seite 8 sich die wirtschaftliche Lage im Nachgang des Unabhängigkeitsreferen- dums vom 25. September 2017 sowie aufgrund der Ereignisse in der Re- gion verschärft und teilweise zu Protesten in der Bevölkerung geführt habe, herrsche in der ARK keine Situation allgemeiner Gewalt. Der Wegwei- sungsvollzug sei deshalb grundsätzlich zumutbar, was im Einklang mit der aktuellen Wegweisungspraxis des Bundesverwaltungsgerichts stehe. Zu- dem würden im vorliegenden Fall auch keine individuellen Gründe gegen die Zumutbarkeit des Wegweisungsvollzugs sprechen.</w:t>
      </w:r>
    </w:p>
    <w:p>
      <w:r>
        <w:rPr>
          <w:b/>
        </w:rPr>
        <w:t>E. 8.3.3</w:t>
      </w:r>
    </w:p>
    <w:p>
      <w:r>
        <w:t>Diese Ausführungen sind nicht zu beanstanden. So hat sich das Bun- desverwaltungsgericht im Urteil BVGE 2008/5 einlässlich mit der Frage der Zumutbarkeit des Wegweisungsvollzugs in die drei damaligen kurdischen Provinzen des Nordiraks (Dohuk, Erbil und Suleimania) auseinanderge- 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über Beziehungen zu den herrschenden Parteien verfügt, wobei bei alleinstehenden Frauen, Familien mit Kindern, Kranken sowie Betagten grosse Zurückhaltung angebracht sei (vgl. BVGE 2008/5 E. 7.5, insb. E. 7.5.1 und 7.5.8). Diese Praxis wurde in den folgenden Jahren durch das Bundesverwal- 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 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 sen (vgl. dazu statt vieler Urteil des BVGer E-1524/2020 vom 28. Mai 2020 E.6.4.2).</w:t>
      </w:r>
    </w:p>
    <w:p>
      <w:r>
        <w:t>E-1221/2022 Seite 9 Der Beschwerdeführer, der den Irak erst vor kurzer Zeit auf legalem Wege verlassen hat, kann lesen und schreiben (vgl. z. B. selbständig ausgefülltes Personalienblatt SEM-eAkten 1/2), gehört der Partei KDP (Kurdistan De- mocratic Party) an und hatte bis ungefähr einen Monat vor seiner Ausreise eine Arbeit als Hilfskraft an einer (…), wo er zudem Waren in grosser Menge auf dem Markt des (…) verkaufte. Dass er nicht wissen will, wo sich seine Eltern zurzeit genau aufhalten, ändert an der Zumutbarkeit des Weg- weisungsvollzugs nichts, handelt es sich bei ihm doch um einen volljähri- gen, alleinstehenden und selbständigen Mann, der vor Ort über ein gros- ses intaktes familiäres Beziehungsnetz verfügt (z. B. neun Onkel und sie- ben Tanten), zu dem er Kontakt pflegt und auf dessen Hilfe er – bei Bedarf – im Hinblick auf seine Reintegration zurückgreifen kann (vgl. SEM-eAkten 21/18 F26 bis F28). Zudem konnte die Familie ein Haus verkaufen, womit die Ausreise der siebenköpfigen Kernfamilie finanziert werden konnte (vgl. a.a.O. F88). Die genannten begünstigenden Faktoren sprechen für die Zu- mutbarkeit des Wegweisungsvollzugs. Im Übrigen leidet der Beschwerde- führer den Akten zufolge an keinen gesundheitlichen Problemen, die einem Wegweisungsvollzug entgegenstehen könnten. Insgesamt ist nicht davon auszugehen, dass er bei einer Rückkehr nach B._______ (Provinz Dohuk) aufgrund der allgemeinen Situation oder aus individuellen Gründen wirt- schaftlicher, sozialer oder gesundheitlicher Natur in eine existenzbedro- hende Lage geraten würde. Dieser Schlussfolgerung wird in der Rechts- mitteleingabe nichts Stichhaltiges entgegengestellt. Dass der Beschwerde- führer im Irak namentlich niemanden mehr haben soll (vgl. Beschwerde S. 12), ist eine durch nichts belegte Behauptung, die überdies seinen Aussa- gen in der Anhörung nicht entspricht. Der Vollzug der Wegweisung erweist sich nach dem Gesagten sowohl in genereller als auch individueller Hinsicht als zumutbar.</w:t>
      </w:r>
    </w:p>
    <w:p>
      <w:r>
        <w:rPr>
          <w:b/>
        </w:rPr>
        <w:t>E. 8.4</w:t>
      </w:r>
    </w:p>
    <w:p>
      <w:r>
        <w:t>Nach Art. 83 Abs. 2 AIG ist der Vollzug auch als möglich zu bezeichnen, weil es dem Beschwerdeführer obliegt, sich die für eine Rückkehr notwen- digen Reisedokumente bei der zuständigen Vertretung seines Heimat- staats zu beschaffen (Art. 8 Abs. 4 AsylG und dazu BVGE 2008/34 E. 12). Der Vollzug der Wegweisung ist möglich.</w:t>
      </w:r>
    </w:p>
    <w:p>
      <w:r>
        <w:rPr>
          <w:b/>
        </w:rPr>
        <w:t>E. 8.5</w:t>
      </w:r>
    </w:p>
    <w:p>
      <w:r>
        <w:t>Die Vorinstanz hat den Vollzug demnach zu Recht als zulässig, zumut- bar und möglich erachtet. Damit fällt die Anordnung einer vorläufigen Auf- nahme ausser Betracht (Art. 83 Abs. 1–4 AIG). Das Subeventualbegehren ist abzuweisen.</w:t>
      </w:r>
    </w:p>
    <w:p>
      <w:r>
        <w:t>E-1221/2022 Seite 10</w:t>
      </w:r>
    </w:p>
    <w:p>
      <w:r>
        <w:rPr>
          <w:b/>
        </w:rPr>
        <w:t>E. 9</w:t>
      </w:r>
    </w:p>
    <w:p>
      <w:r>
        <w:t>Aus diesen Erwägungen ergibt sich, dass die angefochtene Verfügung Bundesrecht nicht verletzt und auch sonst nicht zu beanstanden ist (Art. 106 AsylG). Die Beschwerde ist abzuweisen. Nach dem Gesagten be- steht auch kein Grund zur Rückweisung der Sache an die Vorinstanz; das entsprechende Beschwerdebegehren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E-1221/2022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