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E-1219/2010 vom 14. November 2011</w:t>
      </w:r>
    </w:p>
    <w:p>
      <w:r>
        <w:t>Bundesverwaltungsgericht, 2011-11-14, FR</w:t>
      </w:r>
    </w:p>
    <w:p>
      <w:r>
        <w:rPr>
          <w:b/>
        </w:rPr>
        <w:t xml:space="preserve">Quelle: </w:t>
      </w:r>
      <w:r>
        <w:t>https://mcp.opencaselaw.ch/entscheid/bvger_E-1219_2010</w:t>
      </w:r>
    </w:p>
    <w:p>
      <w:r>
        <w:t>FR: TAF E-1219/2010 du 14 novembre 2011</w:t>
      </w:r>
    </w:p>
    <w:p>
      <w:r>
        <w:t>IT: TAF E-1219/2010 del 14 novembre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Interjeté dans la forme (art. 52 al. 1 PA) et le délai (art. 108 al. 1 LAsi) prescrits par la loi, son recours est recevable.</w:t>
      </w:r>
    </w:p>
    <w:p>
      <w:r>
        <w:rPr>
          <w:b/>
        </w:rPr>
        <w:t>E. 2.1</w:t>
      </w:r>
    </w:p>
    <w:p>
      <w:r>
        <w:t>Saisi d'un recours contre une décision de l'ODM en matière d'asile et/ou de renvoi, le Tribunal tient compte de la situation et des éléments tels qu'ils se présentent au moment où il se prononce (cf. à ce propos Jurisprudence et informations de la Commission suisse de recours en matière d'asile [JICRA] 2000 n° 2 p. 20 ; JICRA 1997 n° 27 consid. 4f p. 211 ; JICRA 1995 n° 5 consid. 6a p. 43 ; JICRA 1994 n° 6 consid. 5 p. 52). Ce faisant, il prend en considération l'évolution intervenue depuis l'époque du dépôt de la demande d'asile.</w:t>
      </w:r>
    </w:p>
    <w:p>
      <w:r>
        <w:rPr>
          <w:b/>
        </w:rPr>
        <w:t>E. 2.2</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vol. II, 3e éd. Berne 2011, p. 820 s.).</w:t>
      </w:r>
    </w:p>
    <w:p>
      <w:r>
        <w:rPr>
          <w:b/>
        </w:rPr>
        <w:t>E. 3</w:t>
      </w:r>
    </w:p>
    <w:p>
      <w:r>
        <w:t>Le recourant a invoqué que l'audition du 11 juin 2009 ne s'était pas déroulée de manière optimale, car il avait eu des difficultés à comprendre les questions posées et à se faire entendre en raison de problèmes de communication avec l'interprète, qui ne parlait pas le même dialecte kurde que lui. Au vu du contenu du procès-verbal (ci-après : pv) qui a été établi à cette occasion - et dont l'intéressé n'a pas contesté l'exactitude - le Tribunal considère qu'il a pu tout de même présenter de manière suffisamment claire et exhaustive ses motifs d'asile. En effet, l'audition s'est déroulée en badini, idiome qu'il comprend bien (cf. en particulier pt. 9 p. 2 et p. 7 in fine du pv de la première audition [pièce A 1] ; cf. aussi p. 1 in fine et p. 3 de celle durant laquelle il a été entendu sur les résultats de l'analyse osseuse pour déterminer son âge [pièce A 11]). Certes la maîtrise du badini par l'interprète, de langue maternelle sorani, ne semble pas avoir été parfaite (cf. notamment les remarques du recourant au commencement de l'audition ; questions n° 3 à 6, p. 2 s. du pv), mais hormis certaines hésitations - où l'intéressé répétait les questions posées pour être sûr qu'il en avait bien saisi le sens, respectivement où celles-ci ont dû lui être explicitées - il a dans l'ensemble pu répondre tout de suite de manière claire et sensée. En outre, les difficultés de compréhension ont surtout eu lieu au début, où on lui posait des questions plus générales (p. ex. informations sur la localité d'origine) et ont très sensiblement diminué ensuite, lorsqu'on lui a demandé des informations plus personnelles (p. ex. précisions concernant les membres de son réseau familial en Irak et qualité des relations qu'il entretenait avec eux, parcours scolaire et incohérences de ses allégations relatives à son âge, organisation et détails de son voyage vers la Suisse, informations quant à la façon dont il avait pu se procurer sa carte d'identité et mise en doute de l'authenticité de ce document) et où il a été invité à exposer en détail ses motifs d'asile. A cela s'ajoute que le représentant des oeuvres d'entraide qui était également présent lors de cette audition n'a formulé aucune critique ni remarque à l'issue de celle-ci dans le formulaire figurant en annexe du pv, ce qui permet de penser que son déroulement a dans l'ensemble été satisfaisant. Quant à la personne de confiance de l'intéressé, qui y assistait aussi, celle-ci ne s'est pas non plus exprimée concernant cet aspect, ni à cette occasion ni dans les jours et semaines qui ont suivi. Ce n'est que plus de huit mois plus tard, dans le mémoire du recours, qu'elle a relevé que celui-ci avait eu "quelques" difficultés à comprendre les questions posées.</w:t>
      </w:r>
    </w:p>
    <w:p>
      <w:r>
        <w:rPr>
          <w:b/>
        </w:rPr>
        <w:t>E. 4.1</w:t>
      </w:r>
    </w:p>
    <w:p>
      <w:r>
        <w:t>Par ailleurs, le Tribunal rappelle qu'il n'est pas admissible de refuser de manière générale la consultation d'analyses internes de documents. Avant de rendre sa décision, l'ODM est tenu de donner connaissance au requérant d'asile du résultat d'une telle analyse et de divulguer son contenu dans les limites de l'art. 27 PA, cet office devant dans chaque cas procéder à une pondération des intérêts en présence et indiquer les raisons d'un éventuel refus ; lorsqu'il appert que des intérêts publics et/ou privés prépondérants, au sens défini au premier alinéa de la disposition précitée, s'opposent à une consultation directe d'une telle pièce par la partie, l'autorité ne peut l'utiliser à son désavantage que si elle lui en a communiqué, oralement ou par écrit, le contenu essentiel et lui a outre donné l'occasion de s'exprimer et de fournir des contre-preuves, en application de l'art. 28 PA (cf. pour plus de détails en particulier JICRA 1997 n° 5 consid. 5a-b p. 35 et JICRA 1994 n° 1 consid. 3b, p. 8 s., consid. 4a p. 11 et consid. 5a p. 13 s.).</w:t>
      </w:r>
    </w:p>
    <w:p>
      <w:r>
        <w:rPr>
          <w:b/>
        </w:rPr>
        <w:t>E. 4.2</w:t>
      </w:r>
    </w:p>
    <w:p>
      <w:r>
        <w:t>En l'occurrence, l'ODM, lors de l'audition du 11 juin 2009, n'a manifestement pas respecté en suffisance le droit d'être entendu du recourant lorsqu'il lui a communiqué les résultats de l'analyse interne de sa carte d'identité. Cet office n'a pas indiqué pour quel motif il estimait nécessaire de lui refuser la consultation du rapport établi à cette occasion et s'est contenté de l'informer qu'il avait "étudié" sa carte et avait "conclu qu'elle était fausse" (cf. question n° 140 du pv), respectivement qu'il y avait "plusieurs indices de falsification" qui indiquaient qu'il ne s'agissait pas d'un document authentique (cf. question n° 141 du pv).</w:t>
      </w:r>
    </w:p>
    <w:p>
      <w:r>
        <w:rPr>
          <w:b/>
        </w:rPr>
        <w:t>E. 4.3</w:t>
      </w:r>
    </w:p>
    <w:p>
      <w:r>
        <w:t>Toutefois, selon la jurisprudence, une violation du droit d'être entendu qui n'est pas d'une gravité particulière peut être considérée comme guérie lorsque la personne concernée a eu la possibilité de s'exprimer devant une instance de recours jouissant d'un plein pouvoir d'examen en fait et en droit ; en outre, même en présence d'une violation grave, le Tribunal peut, exceptionnellement, renoncer au renvoi de la cause à l'administration et admettre la réparation du vice, dans la mesure où un tel renvoi représenterait une vaine formalité et conduirait à des retards inutiles qui ne seraient pas conciliables avec l'intérêt (équivalant à celui d'être entendu) de la partie concernée à un examen diligent de son cas (cf. ATF 2C_694/ 2009 du 20 mai 2010, consid. 2.2.1, ATF 8C_84/2009 du 25 janvier 2010, consid. 4.2.2.2, ATF 133 I 201 consid. 2.2, ATF 132 V 387 consid. 5.1 ; voir aussi ATAF 2010/35 consid. 4.3.1 p. 496).</w:t>
      </w:r>
    </w:p>
    <w:p>
      <w:r>
        <w:rPr>
          <w:b/>
        </w:rPr>
        <w:t>E. 4.4</w:t>
      </w:r>
    </w:p>
    <w:p>
      <w:r>
        <w:t>En l'espèce, l'ODM, dans sa réponse du 29 mars 2010, a finalement indiqué le motif pour lequel il considérait que le rapport d'analyse ne pouvait pas être consulté par le recourant, à savoir que ce document contenait des indications - en particulier les indices de falsification de la carte d'identité qui y étaient relevés - que l'intérêt public commandait de garder secrètes afin d'en éviter un usage abusif ultérieur (cf. art. 27 al. 1 let. a PA) ; il a aussi communiqué deux de ces indices qui, à eux seuls, lui avaient déjà suffi pour conclure que ce document n'était pas authentique. En outre, l'intéressé a eu la possibilité de s'exprimer sur ces nouvelles informations dans le cadre de son droit de réplique et a pu fournir une contre-preuve (cf. let. K et L de l'état de fait). Partant, le Tribunal considère que la violation de son droit d'être entendu par l'ODM a été guérie en procédure de recours. A cela s'ajoute que la question de l'authenticité de cette carte d'identité n'est plus déterminante à l'heure actuelle, l'établissement de l'âge exact du recourant n'étant plus primordial maintenant qu'il est majeur (cf. à ce sujet aussi let. H in fine de l'état de fait et le consid. 10.2.4 ci-après) même en tenant compte de ses propres allégations. Partant, une cassation de la décision attaquée pour ce motif constituerait une vaine formalité, contraire au principe de l'économie de la procédure (cf. aussi le consid. 4.3. ci-avant).</w:t>
      </w:r>
    </w:p>
    <w:p>
      <w:r>
        <w:rPr>
          <w:b/>
        </w:rPr>
        <w:t>E. 5.1</w:t>
      </w:r>
    </w:p>
    <w:p>
      <w:r>
        <w:t>En vertu de l'art. 2 al. 1 LAsi, la Suisse accorde sur demande l'asile à des réfugiés conformément aux dispositions de la présente loi.</w:t>
      </w:r>
    </w:p>
    <w:p>
      <w:r>
        <w:rPr>
          <w:b/>
        </w:rPr>
        <w:t>E. 5.2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5.3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En l'occurrence, le Tribunal considère que les motifs d'asile allégués ne répondent pas aux conditions posées par les art. 3 et 7 LAsi.</w:t>
      </w:r>
    </w:p>
    <w:p>
      <w:r>
        <w:rPr>
          <w:b/>
        </w:rPr>
        <w:t>E. 6.2</w:t>
      </w:r>
    </w:p>
    <w:p>
      <w:r>
        <w:t>En premier lieu, force est de constater que les préjudices dont fait état l'intéressé, même s'ils avaient été pleinement vraisemblables (cf. à ce sujet le consid. 6.3. ci-après), ne lui permettraient de toute façon pas de se voir reconnaître la qualité de réfugié. En effet, les maltraitances et les autres actes dont il dit avoir été victime de la part de proches n'ont pas pour origine l'un des motifs énumérés de manière exhaustive à l'art. 3 LAsi.</w:t>
      </w:r>
    </w:p>
    <w:p>
      <w:r>
        <w:rPr>
          <w:b/>
        </w:rPr>
        <w:t>E. 6.3</w:t>
      </w:r>
    </w:p>
    <w:p>
      <w:r>
        <w:t>Par ailleurs, les allégations du recourant concernant les préjudices qu'il aurait subis comportent des invraisemblances. A ce sujet, le Tribunal constate que lors de l'audition du 4 septembre 2008, il a uniquement allégué qu'il avait été maltraité par son père et sa belle-mère, contraint de cesser l'école et d'effectuer des tâches ménagères et forcé de dormir souvent hors du domicile familial (cf. pt. 15 p. 5 du pv ; cf. aussi let. C de l'état de fait). Il a par contre déclaré lors de celle du 11 juin 2009 que tant sa belle-mère que son père avaient essayé de le noyer à plusieurs reprises en le jetant dans la rivière (cf. questions n° 116-120 et 143 s.). Il est d'ailleurs surprenant qu'ils ne soient jamais parvenus à leurs fins, malgré cet acharnement et son jeune âge.</w:t>
      </w:r>
    </w:p>
    <w:p>
      <w:r>
        <w:rPr>
          <w:b/>
        </w:rPr>
        <w:t>E. 6.4</w:t>
      </w:r>
    </w:p>
    <w:p>
      <w:r>
        <w:t>Pour le surplus, le Tribunal renvoie à l'argumentation développée dans la décision attaquée (cf. p. 4 consid. 2.1 s.), qui est suffisamment convaincante et qui n'a pas été spécifiquement contestée dans le mémoire de recours.</w:t>
      </w:r>
    </w:p>
    <w:p>
      <w:r>
        <w:rPr>
          <w:b/>
        </w:rPr>
        <w:t>E. 6.5</w:t>
      </w:r>
    </w:p>
    <w:p>
      <w:r>
        <w:t>Il ressort de ce qui précède que le recours, en tant qu'il conteste la non-reconnaissance de la qualité de réfugié et le refus de l'asile, doit être rejeté.</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réalisée, le Tribunal est tenu, de par la loi, de confirmer cette mesure.</w:t>
      </w:r>
    </w:p>
    <w:p>
      <w:r>
        <w:rPr>
          <w:b/>
        </w:rPr>
        <w:t>E. 8.1</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8.2</w:t>
      </w:r>
    </w:p>
    <w:p>
      <w:r>
        <w:t>L'exécution n'est pas licite lorsque le renvoi de l'étranger dans son Etat d'origine ou de provenance ou dans un Etat tiers est contraire aux engagements de la Suisse relevant du droit international (art. 83 al. 3 LEtr).</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En effet, le recourant n'a pas rendu vraisemblable (cf. consid. 6 ci-avant) qu'en cas de retour dans son pays d'origine, il serait exposé à de sérieux préjudices au sens de l'art. 3 LAsi.</w:t>
      </w:r>
    </w:p>
    <w:p>
      <w:r>
        <w:rPr>
          <w:b/>
        </w:rPr>
        <w:t>E. 9.3.1</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ee p. 186 s.).</w:t>
      </w:r>
    </w:p>
    <w:p>
      <w:r>
        <w:rPr>
          <w:b/>
        </w:rPr>
        <w:t>E. 9.3.3</w:t>
      </w:r>
    </w:p>
    <w:p>
      <w:r>
        <w:t>En l'occurrence, l'intéressé n'a pas rendu vraisemblable (cf. à ce sujet notamment le consid. 6.3. ci-avant) qu'il existait pour lui un véritable risque concret et sérieux d'être victime d'actes prohibés par l'art. 3 CEDH - que ce soit de la part de membres d'un organe étatique, de proches ou d'autres particuliers - en cas d'exécution du renvoi en Irak, et en particulier dans les provinces kurdes du Nord de cet Etat.</w:t>
      </w:r>
    </w:p>
    <w:p>
      <w:r>
        <w:rPr>
          <w:b/>
        </w:rPr>
        <w:t>E. 9.4</w:t>
      </w:r>
    </w:p>
    <w:p>
      <w:r>
        <w:t>En outre, le recourant n'a pas non plus rendu vraisemblable qu'il existait pour lui un véritable risque concret et sérieux d'être victime de traitements contraires à l'art. 3 Conv. torture en cas de retour en Irak.</w:t>
      </w:r>
    </w:p>
    <w:p>
      <w:r>
        <w:rPr>
          <w:b/>
        </w:rPr>
        <w:t>E. 9.5</w:t>
      </w:r>
    </w:p>
    <w:p>
      <w:r>
        <w:t>Partant, l'exécution du renvoi de l'intéressé sous forme de refoulement ne transgresse aucun engagement de la Suisse relevant du droit international, de sorte qu'elle s'avère licite (art. 44 al. 2 LAsi et art. 83 al. 3 LEtr).</w:t>
      </w:r>
    </w:p>
    <w:p>
      <w:r>
        <w:rPr>
          <w:b/>
        </w:rPr>
        <w:t>E. 10.1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10.2.1</w:t>
      </w:r>
    </w:p>
    <w:p>
      <w:r>
        <w:t>Il est notoire que les provinces kurdes du Nord de l'Irak ne connaissent pas une situation de guerre, de guerre civile ou de violence généralisée qui permettrait d'emblée - et indépendamment des circonstances du cas d'espèce - de présumer, à propos de toutes les personnes qui en proviennent, l'existence d'une mise en danger concrète au sens de l'art. 83 al. 4 LEtr.</w:t>
      </w:r>
    </w:p>
    <w:p>
      <w:r>
        <w:rPr>
          <w:b/>
        </w:rPr>
        <w:t>E. 10.2.2</w:t>
      </w:r>
    </w:p>
    <w:p>
      <w:r>
        <w:t>S'agissant de la situation dans les trois provinces kurdes du Nord de l'Irak (Dohuk, Erbil et Suleimaniya), le Tribunal a procédé à une analyse circonstanciée de la situation dans un arrêt publié. Il a jugé que, sauf cas particuliers, l'exécution du renvoi d'hommes jeunes d'ethnie kurde, célibataires et en bonne santé originaires de ces provinces devait être considérée comme exigible, pour autant que ceux-ci y disposent d'un réseau social (famille, parenté ou amis) ou de liens avec les partis dominants (cf. ATAF 2008/5 consid. 7.5, spéc. 7.5.8).</w:t>
      </w:r>
    </w:p>
    <w:p>
      <w:r>
        <w:rPr>
          <w:b/>
        </w:rPr>
        <w:t>E. 10.2.3</w:t>
      </w:r>
    </w:p>
    <w:p>
      <w:r>
        <w:t>En l'occurrence, il ne ressort du dossier aucun élément personnel dont on pourrait inférer que l'exécution du renvoi impliquerait une mise en danger concrète du recourant. A cet égard, l'autorité de céans relève que celui-ci est jeune, sans charge de famille et n'a pas allégué de problème de santé particulier (cf. à ce sujet notamment p. 1 in fine et p. 2 in initio de la pièce A 11). A cela s'ajoute qu'il dispose déjà d'une certaine expérience professionnelle, dans le domaine de la (...) notamment, attendu qu'il a déjà travaillé en Irak et, dans une moindre mesure, aussi en Suisse. En outre, il pourra également compter sur l'aide d'un réseau social suffisant en cas de retour, même à supposer qu'il ne puisse réellement pas espérer un quelconque soutien de la part de son père et de sa belle-mère (cf. cependant les invraisemblances relevées au consid. 6.3. ci-avant). En effet, son oncle - qui l'a déjà aidé de manière significative avant son départ et durant sa procédure d'asile en Suisse - occupe un emploi stable et dispose manifestement de certaines ressources financières (cf. en particulier let. C, F, K et L de l'état de fait ; cf. aussi pt. 16 p. 6 du pv de l'audition du 4 septembre 2008 et les questions n° 108 ss du pv de celle du 11 juin 2009). En outre, le recourant a également reconnu qu'il avait notamment encore une tante paternelle, un ami et des connaissances (cf. les questions n° 82 ss du pv précité) dans sa région d'origine.</w:t>
      </w:r>
    </w:p>
    <w:p>
      <w:r>
        <w:rPr>
          <w:b/>
        </w:rPr>
        <w:t>E. 10.2.4</w:t>
      </w:r>
    </w:p>
    <w:p>
      <w:r>
        <w:t>Enfin, même à supposer que l'intéressé ait réellement été mineur au moment où l'ODM a rejeté sa demande d'asile - question qui peut rester indécise en l'état (cf. ci-après) - celui-ci ne saurait en tirer bénéfice à l'heure actuelle. En effet, comme déjà relevé plus haut (cf. consid. 2.1), les conditions de l'exécution du renvoi doivent s'apprécier au moment du prononcé de l'arrêt au fond. Partant, la jurisprudence (cf. en particulier JICRA 1998 n° 13, spéc. consid. 5e bb p. 99 s. ; cf. à ce sujet aussi let. H in fine de l'état de fait) exigeant une prise en compte de l'intérêt supérieur de l'enfant (cf. art. 3 de la Convention relative aux droits de l'enfant du 20 novembre 1989 [RS 0.107]) n'est pas applicable ici, puisqu'il est actuellement majeur.</w:t>
      </w:r>
    </w:p>
    <w:p>
      <w:r>
        <w:rPr>
          <w:b/>
        </w:rPr>
        <w:t>E. 10.3</w:t>
      </w:r>
    </w:p>
    <w:p>
      <w:r>
        <w:t>Pour ces motifs, l'exécution du renvoi doit être considérée comme raisonnablement exigible.</w:t>
      </w:r>
    </w:p>
    <w:p>
      <w:r>
        <w:rPr>
          <w:b/>
        </w:rPr>
        <w:t>E. 11</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12</w:t>
      </w:r>
    </w:p>
    <w:p>
      <w:r>
        <w:t>Il s'ensuit que le recours, en tant qu'il conteste l'exécution du renvoi, doit être également rejeté.</w:t>
      </w:r>
    </w:p>
    <w:p>
      <w:r>
        <w:rPr>
          <w:b/>
        </w:rPr>
        <w:t>E. 13</w:t>
      </w:r>
    </w:p>
    <w:p>
      <w:r>
        <w:t>S'agissant de la demande d'assistance judiciaire partielle (cf. let. H et I de l'état de fait), elle doit être admise, les conditions prévues par l'art. 65 al. 1 PA étant réalisées. En effet, il ressort de ce qui précède que le recours n'était pas d'emblée voué à l'échec à l'époque de son dépôt. En outre, l'intéressé, au vu du dossier, doit être considéré comme indigent.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