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E-1215/2011 vom 12. August 2013</w:t>
      </w:r>
    </w:p>
    <w:p>
      <w:r>
        <w:t>Bundesverwaltungsgericht, 2013-08-12, DE</w:t>
      </w:r>
    </w:p>
    <w:p>
      <w:r>
        <w:rPr>
          <w:b/>
        </w:rPr>
        <w:t xml:space="preserve">Quelle: </w:t>
      </w:r>
      <w:r>
        <w:t>https://mcp.opencaselaw.ch/entscheid/bvger_E-1215_2011</w:t>
      </w:r>
    </w:p>
    <w:p>
      <w:r>
        <w:t>FR: TAF E-1215/2011 du 12 août 2013</w:t>
      </w:r>
    </w:p>
    <w:p>
      <w:r>
        <w:t>IT: TAF E-1215/2011 del 12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(vgl. BVGE 2010/57 E. 2, BVGE 2010/9 E. 5.2, BVGE 2007/31 E. 5.3 f., jeweils mit weiteren Hinweisen).</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2012/5 E. 2.2, BVGE 2010/57 E. 2.6, EMARK 2004 Nr. 1 E. 5, mit weiteren Hinweisen).</w:t>
      </w:r>
    </w:p>
    <w:p>
      <w:r>
        <w:rPr>
          <w:b/>
        </w:rPr>
        <w:t>E. 4.1</w:t>
      </w:r>
    </w:p>
    <w:p>
      <w:r>
        <w:t>Nach Durchsicht der vorliegenden Akten gelangt das Bundesverwaltungsgericht in Übereinstimmung mit der Vorinstanz zum Schluss, dass die Beschwerdeführenden nicht glaubhaft darlegen konnten, dass der kosovarische Staat seiner Schutzpflicht nicht nachkommt beziehungsweise nicht in der Lage ist, Schutz zu gewähren.</w:t>
      </w:r>
    </w:p>
    <w:p>
      <w:r>
        <w:rPr>
          <w:b/>
        </w:rPr>
        <w:t>E. 4.2</w:t>
      </w:r>
    </w:p>
    <w:p>
      <w:r>
        <w:t>Die Beschwerdeführenden machten in ihren Asylvorbringen geltend, sie seien wegen ihrer ethnischen Herkunft sowohl durch Albaner als auch durch Serben beschimpft und bedroht worden. Ferner sei der Beschwerdeführer während der wenigen Male, die er nach D.________ gereist sei, um sich nach einer Unterkunft zu erkundigen, von Albanern angehalten worden, welche ihre Familienangehörigen im Krieg verloren und sich über [Tätigkeit des Beschwerdeführers] erkundigt hätten. Bei den geltend gemachten Behelligungen handelt es sich um Übergriffe Dritter. Der schweizerische Bundesrat hat mit Beschluss vom 6. März 2009 (Wirkung ab 1. April 2009) Kosovo als sogenannten verfolgungssicheren Staat bezeichnet. Massgebliche Kriterien für die Bezeichnung eines Staates als verfolgungssicher sind dessen Einhaltung der Menschenrechte und die Anwendung internationaler Konventionen im Menschenrechtsbereich. 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 Die Sicherheitslage für Minderheiten von nicht-albanischer Volkszugehörigkeit in Kosovo hat sich in den letzten Jahren deutlich entspannt; dies insbesondere dank dem Einsatz internationaler Sicherheitskräfte wie UNMIK, KFOR oder EULEX. Gemäss Praxis des Bundesverwaltungsgerichts kommt die Republik Kosovo ihrer staatlichen Schutzpflicht im Sinne der geltenden Schutztheorie (vgl. Entscheidungen und Mitteilungen der Schweizerischen Asylrekurskommission [EMARK] 2006 Nr. 18 E. 7 und 8) nach (vgl. BVGE 2011/50 E. 4.7). Die zuständigen Behörden von Kosovo gehen - im Rahmen ihrer Möglichkeiten - denn auch in aller Regel gegen Bedrohungen und Übergriffe Dritter vor. Insoweit ist vom bestehenden Schutzwillen und auch von der weitgehenden Schutzfähigkeit der in Kosovo tätigen Sicherheitsbehörden auszugehen. Den Beschwerdeführenden stand es somit (zumindest) ab April 2009 (Geltung als Safe Country) offen, sich aufgrund der geltend gemachten Behelligungen seitens Dritter an die heimatlichen Behörden zu wenden und diese um Schutz zu ersuchen. Weshalb sie - falls sie zu diesem Zeitpunkt weiterhin Behelligungen ausgesetzt gewesen wären - davon abgesehen haben, erscheint unter Berücksichtigung der damals sowie heute herrschenden politischen und rechtlichen Zustände in Kosovo nicht nachvollziehbar. Aufgrund der Aktenlage ist jedenfalls nicht hinreichend dargelegt, dass die zuständigen staatlichen Organe den Beschwerdeführenden den erforderlichen Schutz verweigert hätten oder in Zukunft verweigern würden. Nach dem Gesagten ist festzuhalten, dass die kosovarischen Behörden gewillt und fähig sind, der Zivilbevölkerung - unabhängig von ihrer ethnischen Herkunft - staatlichen Schutz zu gewähren, und dabei durch die internationalen Schutztruppen unterstützt werden. Aus diesem Grunde ist auf die Ausführungen der Beschwerdeführenden und des älteren Sohnes beziehungsweise Bruders (E 1219/2011) hinsichtlich des Aufenthaltes der Familie in den letzten zehn Jahren im Rahmen der Prüfung der Flüchtlingseigenschaft nicht weiter einzugehen.</w:t>
      </w:r>
    </w:p>
    <w:p>
      <w:r>
        <w:rPr>
          <w:b/>
        </w:rPr>
        <w:t>E. 4.3</w:t>
      </w:r>
    </w:p>
    <w:p>
      <w:r>
        <w:t>Somit ist nicht davon auszugehen, dass die Beschwerdeführenden bei ihrer Rückkehr in eine Bedrohungssituation geraten würden. Die Vorinstanz hat zu Recht und mit zutreffender Begründung die Flüchtlingseigenschaft der Beschwerdeführenden verneint und ihre Asylgesuche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(vgl. BVGE 2011/24 E. 10.1 mit weiteren Hinweisen). Die Wegweisung wurde demnach zu Recht angeordnet.</w:t>
      </w:r>
    </w:p>
    <w:p>
      <w:r>
        <w:rPr>
          <w:b/>
        </w:rPr>
        <w:t>E. 6.1</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Bei der Geltendmachung von Wegweisungshindernissen gilt nach ständi-ger Praxis des Bundesverwaltungsgerichts der gleiche Beweisstandard wie bei der Flüchtlingseigenschaft, das heisst, sie sind zu beweisen, wenn der strikte Beweis möglich ist, und andernfalls wenigstens glaubhaft zu machen (vgl. BVGE 2011/24 E. 10.1, mit weiteren Hinweisen).</w:t>
      </w:r>
    </w:p>
    <w:p>
      <w:r>
        <w:rPr>
          <w:b/>
        </w:rPr>
        <w:t>E. 6.2</w:t>
      </w:r>
    </w:p>
    <w:p>
      <w:r>
        <w:t>Aufgrund der nachfolgenden Erwägungen - wonach im Zusammenhang mit der Durchführbarkeit des Wegweisungsvollzuges weitere Abklärungen vorzunehmen sind und daher die Sache an die Vorinstanz zurückzuweisen ist - erübrigen sich an dieser Stelle Ausführungen zur Zulässigkeit und Möglichkeit des Wegweisungsvollzugs.</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Die Vorinstanz hielt in der angefochtenen Verfügung fest, dass weder die im Heimatstaat herrschende politische Situation noch andere Gründe gegen die Zumutbarkeit der Rückführung nach Kosovo sprechen. So habe sich die Sicherheitslage in den vergangenen Jahren gebessert oder zumindest stabilisiert. Die Wahrscheinlichkeit einer konkreten Gefährdung könne jedoch für serbischsprachige Roma ausserhalb ihrer Enklaven weiterhin nicht ausgeschlossen werden. Eine Rückkehr nach Kosovo werde demnach in der Regel als unzumutbar erachtet. Eine Ausnahme bilde der Norden Kosovos. Für serbischsprachige Roma, die bereits im Norden Kosovos gelebt hätten, sei die Rückkehr dorthin zumutbar. Im vorliegenden Fall hätten die Beschwerdeführenden bereits im Norden Kosovos gelebt, weshalb eine Rückkehr dorthin als zumutbar erachtet werde. Im Übrigen stehe es ihnen frei, nach Serbien zurückzukehren, wo sie sich gemäss Angaben des Beschwerdeführers die letzten zehn Jahre mehrheitlich aufgehalten hätten. Somit sei die Inanspruchnahme der Aufenthaltsalternative in Serbien ebenfalls zumutbar.</w:t>
      </w:r>
    </w:p>
    <w:p>
      <w:r>
        <w:rPr>
          <w:b/>
        </w:rPr>
        <w:t>E. 6.4.1</w:t>
      </w:r>
    </w:p>
    <w:p>
      <w:r>
        <w:t>Das Bundesverwaltungsgericht geht in seiner Praxis davon aus, dass der Vollzug der Wegweisung von albanischsprachigen Roma, Ashkali und "Ägyptern" nach Kosovo in der Regel zumutbar ist, sofern aufgrund einer Einzelfallabklärung - namentlich durch Untersuchungen vor Ort (heute über die Schweizerische Botschaft, vor der Unabhängigkeit Kosovos und dessen Anerkennung durch die Schweiz via das Verbindungsbüro in Kosovo) - feststeht, dass bestimmte Reintegrationskriterien - wie berufliche Ausbildung, Gesundheitszustand, Alter, ausreichende wirtschaftliche Lebensgrundlage und Beziehungsnetz in Kosovo - erfüllt seien (vgl. BVGE 2007/10). Eine Einzelfallabklärung der individuellen Umstände im Rahmen der Zumutbarkeitsprüfung muss nicht nur für die aufgeführten Minderheiten, sondern vielmehr erst recht auch für serbischsprachige Roma vorgenommen werden, bildet Serbisch doch eine Minderheitensprache in Kosovo.</w:t>
      </w:r>
    </w:p>
    <w:p>
      <w:r>
        <w:rPr>
          <w:b/>
        </w:rPr>
        <w:t>E. 6.4.2</w:t>
      </w:r>
    </w:p>
    <w:p>
      <w:r>
        <w:t>Die Vorinstanz bejahte in der angefochtenen Verfügung die Zumutbarkeit des Wegweisungsvollzuges, ohne sich auf Abklärungen vor Ort stützen zu können. Es wird lediglich pauschal darauf verwiesen, dass die Rückkehr in den Norden Kosovos für serbischsprachige Roma, die bereits dort gelebt hätten, zumutbar sei. Da die Beschwerdeführenden zuvor im Norden Kosovos gelebt hätten, sei ihnen die Rückkehr dorthin zumutbar. Eine genaue Abklärung sowie Würdigung hinsichtlich Ortschaft und Dauer des Aufenthaltes der Beschwerdeführenden im Nordkosovo fehlen gänzlich. Ungeachtet der (widersprüchlichen) Aussagen der Beschwerdeführenden und ihres älteren Sohnes zum Aufenthalt in Mitrovica ist an dieser Stelle festzuhalten, dass das Bundesverwaltungsgericht in seinem Urteil BVGE 2011/50 festgehalten hat, ein Wegweisungsvollzug serbischsprachiger Muslime - bei den Beschwerdeführenden handelt es sich um serbischsprachige Roma muslimischen Glaubens - in die Region Mitrovica sei nicht generell zumutbar (BVGE 2011/50 E. 8.6). Im vorliegenden Verfahren kann aufgrund der Aktenlage, wie sie sich nach der Erstbefragung und der direkten Anhörung darstellt, im Sinne der zitierten Rechtsprechung nicht der Schluss gezogen werden, ein Wegwei­sungsvollzug in den Nordkosovo sei für die Beschwerdeführenden zumut­bar. Dem BFM ist vorzuhalten, dass es sich mit der angeführten Recht­sprechung des Bundesverwaltungsgerichts in keiner Weise auseinandergesetzt hat. Folglich erscheint ein Verzicht auf zusätzliche tatbeständliche Abklärungen vor Ort zur Feststellung der Zumutbarkeit des Wegweisungsvollzugs nicht gerechtfertigt.</w:t>
      </w:r>
    </w:p>
    <w:p>
      <w:r>
        <w:rPr>
          <w:b/>
        </w:rPr>
        <w:t>E. 6.4.3</w:t>
      </w:r>
    </w:p>
    <w:p>
      <w:r>
        <w:t>Weiter führte das BFM aus, den Beschwerdeführenden würde es im Übrigen frei stehen, nach Serbien zurückzukehren, wo sie sich gemäss Aussagen des Beschwerdeführers die letzten zehn Jahre mehrheitlich aufgehalten hätten. Das Bundesverwaltungsgericht hielt in seinem Grundsatzurteil BVGE 2010/41 fest, dass der Wegweisungsvollzug nach Serbien lediglich für aus Kosovo stammende Personen serbischer Ethnie als zumutbar erachtet werde. Bei den Beschwerdeführenden handelt es sich um ethnische Roma. Die Inanspruchnahme einer Aufenthaltsalternative in Serbien für ethnische Roma kann gemäss der zitierten Rechtsprechung mithin nicht angenommen werden. Allenfalls wäre aufgrund der geltend gemachten Umstände - die Beschwerdeführenden seien bereits 1999 aus Kosovo ausgereist und hätten sich gemäss Aussagen des Beschwerdeführers überwiegend in Serbien aufgehalten - anhand einer Botschaftsanfrage abzuklären, ob sie (auch) über die serbische Staatsangehörigkeit verfügen.</w:t>
      </w:r>
    </w:p>
    <w:p>
      <w:r>
        <w:rPr>
          <w:b/>
        </w:rPr>
        <w:t>E. 6.4.4</w:t>
      </w:r>
    </w:p>
    <w:p>
      <w:r>
        <w:t>Nach dem Gesagten kann festgehalten werden, dass die Vorinstanz ohne Berufung auf besondere Gründe vom durch die Rechtsprechung begründeten Grundsatz abgewichen ist, dass für die Beurteilung der Zumutbarkeit des Wegweisungsvollzugs im Falle der Roma-Minderheit (sowie Ashkali und "Ägyptern") aus Kosovo eine Abklärung vor Ort vorzunehmen ist. Die angefochtene Verfügung beruht im Vollzugspunkt auf einem unvollständig abgeklärten Sachverhalt.</w:t>
      </w:r>
    </w:p>
    <w:p>
      <w:r>
        <w:rPr>
          <w:b/>
        </w:rPr>
        <w:t>E. 7.1</w:t>
      </w:r>
    </w:p>
    <w:p>
      <w:r>
        <w:t>Das Bundesverwaltungsgericht entscheidet in der Regel reformatorisch. Nur ausnahmsweise wird eine angefochtene Verfügung kassiert und an die Vorinstanz zurückgewiesen. Vorliegend liegt der Mangel der angefochtenen Verfügung in einer unvollständigen Abklärung des Sachverhalts. Die unterbliebenen, notwendigen Abklärungen vor Ort stellen eine relativ aufwändige Beweiserhebung dar. In einem solchen Fall rechtfertigt sich gemäss Praxis des Bundesverwaltungsgerichts die Kassation der angefochtenen Verfügung. Zudem bleibt den Beschwerdeführenden auf diese Weise der Instanzenzug erhalten, was umso wichtiger ist, als im Asylverfahren das Bundesverwaltungsgericht letztinstanzlich entscheidet (Näheres zur Praxis bei mangelhafter Abklärung des Sachverhaltes in: André Moser/Michael Beusch/Lorenz Kneubühler, Prozessieren vor dem Bundesverwaltungsgericht, Basel 2008, S. 180 f. Rz. 3.193 ff.). Somit erweist es sich als angezeigt, die Sache an die Vorinstanz zwecks Vornahme der erforderlichen Abklärungen zurückzuweisen.</w:t>
      </w:r>
    </w:p>
    <w:p>
      <w:r>
        <w:rPr>
          <w:b/>
        </w:rPr>
        <w:t>E. 7.2</w:t>
      </w:r>
    </w:p>
    <w:p>
      <w:r>
        <w:t>Mit Bezug auf die Anordnung des Wegweisungsvollzuges durch die Vorinstanz kann somit festgehalten werden, dass die Dispositiv-Ziffern 4 und 5 der angefochtenen Verfügung vom 20. Januar 2011 aufzuheben sind. Die Beschwerde ist im Wegweisungsvollzugspunkt gutzuheissen. Das BFM ist anzuweisen, die erforderlichen Abklärungen vor Ort vorzunehmen bzw. vornehmen zu lassen und aufgrund des vollständig erstellten und aktualisierten Sachverhalts betreffend den Vollzug der Wegweisung neu zu entscheiden.</w:t>
      </w:r>
    </w:p>
    <w:p>
      <w:r>
        <w:rPr>
          <w:b/>
        </w:rPr>
        <w:t>E. 7.3</w:t>
      </w:r>
    </w:p>
    <w:p>
      <w:r>
        <w:t>Im Übrigen - im Asyl- und Wegweisungspunkt (Dispositiv-Ziffern 1, 2 und 3 der angefochtenen Verfügung vom 20. Januar 2011) - ist die Beschwerde nach dem oben Gesagten abzuweisen.</w:t>
      </w:r>
    </w:p>
    <w:p>
      <w:r>
        <w:rPr>
          <w:b/>
        </w:rPr>
        <w:t>E. 8.1</w:t>
      </w:r>
    </w:p>
    <w:p>
      <w:r>
        <w:t>Bei diesem Ausgang des Verfahrens sind die reduzierten Verfahrenskosten den Beschwerdeführenden aufzuerlegen (Art. 63 Abs. 1 und 5 VwVG). Mit Zwischenverfügung vom 8. März 2011 wurde das Gesuch um Gewährung der unentgeltlichen Rechtspflege im Sinne von Art. 65 Abs. 1 VwVG abgewiesen und die Beschwerdeführenden und der ältere Sohn beziehungsweise Bruder wurden aufgefordert, einen Kostenvorschuss in Höhe von Fr. 600.- (für das vorliegende Verfahren sowie das Verfahren E-1219/2011) zu leisten. Die um die Hälfte reduzierten Kosten in der Höhe von Fr. 300.- (Art. 1 ff. des Reglements vom 21. Februar 2008 über die Kosten und Entschädigungen vor dem Bundesverwaltungsgericht [VGKE, SR 173.320.2]) sind den Beschwerdeführenden und ihrem älteren Sohn beziehungsweise Bruder aufzuerlegen (Art. 63 Abs. 1 und 5 VwVG). Sie sind mit dem geleisteten Kostenvorschuss bereits beglichen. Die restlichen Fr. 300.- sind den Beschwerdeführenden und ihrem älteren Sohn beziehungsweise Bruder zurückzuerstatten.</w:t>
      </w:r>
    </w:p>
    <w:p>
      <w:r>
        <w:rPr>
          <w:b/>
        </w:rPr>
        <w:t>E. 8.2</w:t>
      </w:r>
    </w:p>
    <w:p>
      <w:r>
        <w:t>Angesichts des teilweisen Obsiegens (betreffend Wegweisungsvollzug) ist die Vorinstanz anzuweisen, den Beschwerdeführenden und ihrem älteren Sohn beziehungsweise Bruder eine (hälftig reduzierte) Parteientschädigung auszurichten (Art. 64 Abs. 1 und 2 VwVG; Art. 7 Abs. 1 und 2 VGKE. Die Rechtsvertreterin hat keine Kostennote eingereicht. Der entstandene Aufwand ist aufgrund der Akten abschätzbar (Art. 14 Abs. 2 VGKE), weshalb von der Einforderung einer Kostennote abzusehen und die Entschädigung zu Lasten des BFM unter Berücksichtigung der massgebenden Bemessungsfaktoren (Art. 9-13 VGKE) und der Entschädigungspraxis in vergleichbaren Fällen insgesamt auf Fr. 300.- (inkl. Auslagen und allfällige MwSt) festzusetzen ist (für das vorliegende Verfahren sowie das Verfahren E-1219/2011).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