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E-1212/2019 vom 21. März 2019</w:t>
      </w:r>
    </w:p>
    <w:p>
      <w:r>
        <w:t>Bundesverwaltungsgericht, 2019-03-21, FR</w:t>
      </w:r>
    </w:p>
    <w:p>
      <w:r>
        <w:rPr>
          <w:b/>
        </w:rPr>
        <w:t xml:space="preserve">Quelle: </w:t>
      </w:r>
      <w:r>
        <w:t>https://mcp.opencaselaw.ch/entscheid/bvger_E-1212_2019</w:t>
      </w:r>
    </w:p>
    <w:p>
      <w:r>
        <w:t>FR: TAF E-1212/2019 du 21 mars 2019</w:t>
      </w:r>
    </w:p>
    <w:p>
      <w:r>
        <w:t>IT: TAF E-1212/2019 del 21 marzo 2019</w:t>
      </w:r>
    </w:p>
    <w:p>
      <w:pPr>
        <w:pStyle w:val="Heading2"/>
      </w:pPr>
      <w:r>
        <w:t>Regeste</w:t>
      </w:r>
    </w:p>
    <w:p>
      <w:r>
        <w:t>Asile et renvoi</w:t>
      </w:r>
    </w:p>
    <w:p>
      <w:pPr>
        <w:pStyle w:val="Heading2"/>
      </w:pPr>
      <w:r>
        <w:t>Erwägungen</w:t>
      </w:r>
    </w:p>
    <w:p>
      <w:r>
        <w:rPr>
          <w:b/>
        </w:rPr>
        <w:t>E. 1.1</w:t>
      </w:r>
    </w:p>
    <w:p>
      <w:r>
        <w:t>Le Tribunal est compétent pour se prononcer sur la présente demande de révision formée contre son propre arrêt (cf. art. 121 à 128 LTF applicables par analogie en vertu de l'art. 45 LTAF [RS 173.32]).</w:t>
      </w:r>
    </w:p>
    <w:p>
      <w:r>
        <w:rPr>
          <w:b/>
        </w:rPr>
        <w:t>E. 1.2</w:t>
      </w:r>
    </w:p>
    <w:p>
      <w:r>
        <w:t>Ayant été parties à la procédure ayant abouti à l'arrêt du 6 février 2019 et ayant un intérêt actuel digne de protection à la reprise du litige, les requérants bénéficient de la qualité pour agir en révision à l'encontre de cet arrêt. Présentée dans la forme (cf. art. 67 al. 3 PA ; applicable par renvoi de l'art. 47 LTAF) et le délai prescrits par la loi (cf. art. 124 al. 1 let. b LTF), ladite demande est recevable.</w:t>
      </w:r>
    </w:p>
    <w:p>
      <w:r>
        <w:rPr>
          <w:b/>
        </w:rPr>
        <w:t>E. 2</w:t>
      </w:r>
    </w:p>
    <w:p>
      <w:r>
        <w:t>La révision au sens des art. 45 ss LTAF est un moyen de droit extraor-dinaire. Elle constitue un réexamen juridictionnel d'un arrêt en vue de sa rétraction par la juridiction-même qui l'a rendu et une exception à l'autorité matérielle de la chose jugée (cf. arrêt du Tribunal C-3272/2018 du 9 janvier 2019 consid. 2.1 et réf. cit.). Selon la jurisprudence du Tribunal fédéral, si celui-ci admet le motif de révision invoqué, il annule l'arrêt et statue à nouveau (art. 128 al. 1 LTF). Il le fait généralement dans un seul arrêt : par la première décision, dénommée le rescindant, il annule l'arrêt formant l'objet de la demande de révision ; par la seconde, appelée le rescisoire, il statue derechef sur le recours dont il avait été précédemment saisi. La décision d'annulation met fin à la procédure de révision proprement dite et entraîne la réouverture de la procédure antérieure. Dans ce dernier cas, les parties sont replacées dans la situation où elles se trouvaient au moment où l'arrêt (partiellement) annulé a été rendu. L'annulation peut être complète ou partielle si le motif invoqué ne concerne qu'une partie du dispositif (cf. arrêts du TF 2F_2/2013 du 5 juin 2013 consid. 7.2, 8C_656/2013 du 26 août 2014 consid. 2.4).</w:t>
      </w:r>
    </w:p>
    <w:p>
      <w:r>
        <w:rPr>
          <w:b/>
        </w:rPr>
        <w:t>E. 3</w:t>
      </w:r>
    </w:p>
    <w:p>
      <w:r>
        <w:t>En l'espèce, le dispositif de l'arrêt du Tribunal E-7099/2018 du 6 février 2019 rejetant le recours des intéressés doit être interprété à la lumière de la motivation dudit arrêt. Or, il ressort des considérants en fait de cet arrêt, plus particulièrement de la lettre I, et de ses considérants en droit que le Tribunal n'a pas statué sur les conclusions en cassation, ni explicitement ni implicitement. En particulier, il n'a mentionné ni ces conclusions ni les griefs sur lesquelles elles étaient fondées ; en outre, l'indication au considérant 11 que « la décision attaquée ne viole pas le droit fédéral et a établi de manière exacte et complète l'état de fait pertinent » n'est pas une motivation suffisante pour admettre que le Tribunal a rejeté les conclusions en cassation. Les conditions pour demander une révision sont par conséquent réunies. Sur le rescindant, il s'impose dès lors d'annuler cet arrêt E-7099/2018 du Tribunal du 6 février 2019. En conséquence, la procédure antérieure de recours est rouverte. Les recourants sont replacés dans la situation juridique qui était la leur au moment du prononcé de l'arrêt présentement annulé (effet ex tunc). La décision sur le rescisoire interviendra exceptionnellement dans un autre arrêt que le présent, limité au rescindant. En effet, les demandes de révision contre une mesure d'exécution du renvoi consécutive à un refus de l'asile n'ont, en principe, aucun effet suspensif : le renvoi demeure exécutoire, sous réserve d'un prononcé de mesures provisionnelles. En revanche, tout requérant d'asile en procédure de recours est autorisé, conformément à l'art. 42 LAsi, à poursuivre son séjour en Suisse jusqu'à la clôture de cette procédure, avec tous les droits et obligations inhérents à leur statut. Tel sera le cas dorénavant des recourants : ils sont à nouveau autorisés à séjourner en Suisse jusqu'à la clôture de la procédure, comme l'avait constaté le Tribunal dans sa décision incidente du 20 décembre 2018. Pour ces raisons, ainsi qu'au regard des particularités des présents motifs de révision et de l'ampleur du dossier de la cause qui nécessite un examen sérieux, il est justifié de rendre dans les meilleurs délais la présente décision.</w:t>
      </w:r>
    </w:p>
    <w:p>
      <w:r>
        <w:rPr>
          <w:b/>
        </w:rPr>
        <w:t>E. 4.1</w:t>
      </w:r>
    </w:p>
    <w:p>
      <w:r>
        <w:t>Au vu de l'issue de la présente procédure de révision à proprement parler (limitée au rescindant), il n'y a pas lieu de percevoir de frais de procédure (cf. art. 63 al. 1 PA). La demande de dispense de leur paiement devient donc, pour la présente procédure, sans objet.</w:t>
      </w:r>
    </w:p>
    <w:p>
      <w:r>
        <w:rPr>
          <w:b/>
        </w:rPr>
        <w:t>E. 4.2</w:t>
      </w:r>
    </w:p>
    <w:p>
      <w:r>
        <w:t>Le prononcé de l'arrêt E-7099/2018 du 6 février 2019 avait mis fin à la représentation juridique (cf. art. 25 al. 3 de l'ordonnance sur les phases de test du 4 septembre 2013 [OTest, RS 142.318.1), de sorte que dite représentation ne couvre pas la présente procédure. En conséquence, au vu de l'issue de la présente procédure, il y a lieu d'allouer des dépens pour les frais engendrés par celle-ci (cf. art. 64 al. 1 PA et art. 7 du règlement du 21 février 2008 concernant les frais, dépens et indemnités fixés par le Tribunal administratif fédéral [FITAF, RS 173.320.2]). Ceux-ci sont fixés à 400 francs, sur la base du dossier (cf. art. 14 FITAF). La demande de désignation d'un mandataire d'office pour la procédure de révision proprement dite devient sans objet. (dispositif : page suivante) Pour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