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E-1210/2016 vom 2. März 2016</w:t>
      </w:r>
    </w:p>
    <w:p>
      <w:r>
        <w:t>Bundesverwaltungsgericht, 2016-03-02, DE</w:t>
      </w:r>
    </w:p>
    <w:p>
      <w:r>
        <w:rPr>
          <w:b/>
        </w:rPr>
        <w:t xml:space="preserve">Quelle: </w:t>
      </w:r>
      <w:r>
        <w:t>https://mcp.opencaselaw.ch/entscheid/bvger_E-1210_2016</w:t>
      </w:r>
    </w:p>
    <w:p>
      <w:r>
        <w:t>FR: TAF E-1210/2016 du 2 mars 2016</w:t>
      </w:r>
    </w:p>
    <w:p>
      <w:r>
        <w:t>IT: TAF E-1210/2016 del 2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führt auf Beschwerdeebene aus, die Vorinstanz sei zu Unrecht von seiner Volljährigkeit ausgegagen. Bei der Handknochenanalyse sei eine erhebliche Abweichung von bis zu drei Jahren möglich. Generell komme ihr nur ein beschränkter Aussagewert zu. Die Vor­instanz könne nicht ausschliessen, dass er unter 18 Jahre alt sei.</w:t>
      </w:r>
    </w:p>
    <w:p>
      <w:r>
        <w:rPr>
          <w:b/>
        </w:rPr>
        <w:t>E. 3.2</w:t>
      </w:r>
    </w:p>
    <w:p>
      <w:r>
        <w:t>Die Vorinstanz bringt dazu vor, die Handknochenanalyse habe ein Knochenalter von 19 Jahren ergeben. Die Differenz zu seinem bei Gesuchseinreichung angegebenen Alter (Geburtsdatum [...]) betrage somit drei Jahre. Seine Altersangabe sei damit unglaubhaft. Ausserdem habe er keine Identitätspapiere eingereicht.</w:t>
      </w:r>
    </w:p>
    <w:p>
      <w:r>
        <w:rPr>
          <w:b/>
        </w:rPr>
        <w:t>E. 3.3</w:t>
      </w:r>
    </w:p>
    <w:p>
      <w:r>
        <w:t>Wie die Vorinstanz geht auch das Gericht davon aus, dass der Beschwerdeführer volljährig ist. Aus dem Befragungsprotokoll geht hervor, dass er gefragt wurde, wann er geboren sei. Er antwortet darauf: "Ich weiss nicht, wie alt ich bin. Ich habe das geschrieben, was auf meiner Tazkara steht. Ich weiss allerdings nicht, ob das stimmt. Ich kenne mein Alter nicht". Ihm wurde sodann mitgeteilt, dass man sein Geburtsdatum auf den (...) ändere, worauf er antwortet, er akzeptiere, was die Vorinstanz sage (SEM-Akten, A8/13 S. 3). Darauf hat er sich behaften zu lassen. Zudem deuten auch seine Aussagen zu seiner Tazkara, welche sich angeblich in Afghanistan befindet, nicht daraufhin, dass er bei Gesuchseinreichung 16 Jahre alt gewesen ist. So führt er aus, in seiner Tazkara stehe, dass er 16 Jahre alt sei. Er wisse jedoch nicht, wann diese ausgestellt worden sei (SEM-Akten, A8/13 S. 7). Die Tatsache, dass er sich nicht mehr an die Ausstellung der Tazkara erinnert, deutet nicht daraufhin, dass diese erst vor kurzem ausgestellt worden ist, womit auch sein behauptetes Alter von 16 Jahren nicht glaubhaft ist. In Anbetracht der Aussagen des Beschwerdeführers, der Handknochenanalyse und dem Nichteinreichen von rechtsgenüglichen Ausweispapieren ist von der Volljährigkeit des Beschwerdeführers auszugehen. Auf sein Vorbringen, er werde seine Original-Tazkara einreichen, ist aufgrund dessen, dass es sich bei der Tazkara nicht um ein amtliches Reisepapier handelt, sie nicht fälschungssicher ist und ihr darum nur ein verminderter Beweiswert zukommt (BVGE 2013/30 E. 4.2.2), nicht weiter einzugehen. Ausserdem wurde der Beschwerdeführer bereits in der Befragung vom 4. Januar 2016 aufgefordert, Reise- und Identitätspapiere einzureichen. Dieser Forderung ist er bisher nicht nachgekommen, obwohl er angeblich über eine Tazkara verfügt.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der Beschwerdeführer am 26. November 2015 in Bulgarien ein Asylgesuch eingereicht habe. Die bulgarischen Behörden hätten das Ersuchen der Schweiz um Wiederaufnahme des Beschwerdeführers gestützt auf Art. 18 Abs. 1 Bst. b Dublin-III-VO gutgeheissen. Die Zuständigkeit für die Durchführung des Asyl- und Wegweisungsverfahrens liege somit bei Bulgarien. Sein Wunsch nach einem Verbleib in der Schweiz habe keinen Einfluss auf die Zuständigkeit. Es sei nicht davon auszugehen, dass er bei einer Überstellung nach Bulgarien im Sinne von Art. 3 Abs. 2 Dublin-III-VO und Art. 3 EMRK gravierenden Menschenrechtsverletzungen ausgesetzt wären, in eine existenzielle Notlage geraten würden oder ohne Prüfung seines Asylgesuchs und unter Verletzung des Non-Refoulement-Gebots in sein Heimatland überstellt werden würden. Für eine Anwendung der Souveränitätsklausel würden keine Gründe vorliegen.</w:t>
      </w:r>
    </w:p>
    <w:p>
      <w:r>
        <w:rPr>
          <w:b/>
        </w:rPr>
        <w:t>E. 5.2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5.2.1</w:t>
      </w:r>
    </w:p>
    <w:p>
      <w:r>
        <w:t>Aus dem Eurodac-Datenblatt geht hervor, dass der Beschwerdeführer am 26. November 2015 in Bulgarien ein Asylgesuch gestellt hat. Die Behauptung des Beschwerdeführers, er habe in Bulgarien nie Asyl beantragt, ist damit nachweislich falsch. Die Vorinstanz ist somit in Anwendung von Art. 18 Abs. 1 Bst. b Dublin-III-VO zutreffend von der grundsätzlichen Zuständigkeit Bulgariens für die Durchführung des Asyl- und Wegweisungsverfahrens ausgegangen.</w:t>
      </w:r>
    </w:p>
    <w:p>
      <w:r>
        <w:rPr>
          <w:b/>
        </w:rPr>
        <w:t>E. 5.2.2</w:t>
      </w:r>
    </w:p>
    <w:p>
      <w:r>
        <w:t>Der Beschwerdeführer bringt vor, die Situation in Bulgarien sei vergleichbar mit derjenigen in Italien, weshalb eine Überstellung nur zulässig sei, wenn eine effektive Garantie für eine entsprechende Unterkunft mit speziellem Schutz bestehe. Diese Rüge geht fehl. Der Beschwerdeführer übersieht, dass das Tarakhel-Urteil des Europäischen Gerichtshofs für Menschenrechte (EGMR) sich explizit auf Familien mit Kindern bei Überstellungen nach Italien bezieht, was vorliegend nicht der Fall ist (Urteil des EGMR Tarakhel gegen die Schweiz vom 4. November 2014, 29217/12).</w:t>
      </w:r>
    </w:p>
    <w:p>
      <w:r>
        <w:rPr>
          <w:b/>
        </w:rPr>
        <w:t>E. 5.2.3</w:t>
      </w:r>
    </w:p>
    <w:p>
      <w:r>
        <w:t>Der Beschwerdeführer macht weiter geltend, das Asylsystem Bulgariens weise Schwachstellen auf. Eine Wegweisung dorthin würde Art. 3 EMRK verletzen.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der Beschwerdeführer einer menschenunwürdigen oder erniedrigenden Behandlung ausgesetzt wäre (Art. 3 EMRK). Im Übrigen handelt es sich beim Beschwerdeführer nicht um eine besonders verletzliche Person, sondern um einen jungen gesunden Mann. Systemische Mängel liegen im bulgarischen Asyl- und Aufnahmeverfahren keine vor; Art. 3 Abs. 2 Satz 2 Dublin-III-VO greift somit nicht.</w:t>
      </w:r>
    </w:p>
    <w:p>
      <w:r>
        <w:rPr>
          <w:b/>
        </w:rPr>
        <w:t>E. 5.3</w:t>
      </w:r>
    </w:p>
    <w:p>
      <w:r>
        <w:t>Die Vorinstanz ist somit zutreffend von der Zuständigkeit Bulgariens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sowie dem Gesuch um Beiordnung eines amtlichen Rechtsbeistandes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