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E-1204/2020 vom 28. Januar 2020</w:t>
      </w:r>
    </w:p>
    <w:p>
      <w:r>
        <w:t>Bundesverwaltungsgericht, 2020-01-28, DE</w:t>
      </w:r>
    </w:p>
    <w:p>
      <w:r>
        <w:rPr>
          <w:b/>
        </w:rPr>
        <w:t xml:space="preserve">Quelle: </w:t>
      </w:r>
      <w:r>
        <w:t>https://mcp.opencaselaw.ch/entscheid/bvger_E-1204_2020_d20200128</w:t>
      </w:r>
    </w:p>
    <w:p>
      <w:r>
        <w:t>FR: TAF E-1204/2020 du 28 janvier 2020</w:t>
      </w:r>
    </w:p>
    <w:p>
      <w:r>
        <w:t>IT: TAF E-1204/2020 del 28 gennaio 2020</w:t>
      </w:r>
    </w:p>
    <w:p>
      <w:pPr>
        <w:pStyle w:val="Heading2"/>
      </w:pPr>
      <w:r>
        <w:t>Regeste</w:t>
      </w:r>
    </w:p>
    <w:p>
      <w:r>
        <w:t>Asyl und Wegweisung | Asyl und Wegweisung; Verfügung des SEM vom 28.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E-1204/2020 Seite 6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Der Beschwerdeführer beantragt, hinsichtlich der Wegweisung, des Weg- weisungsvollzugs sowie des Ausweises N sei die aufschiebende Wirkung zu gewähren. Hierzu ist festzuhalten, dass gemäss Art. 55 Abs. 1 VwVG einer Beschwerde von Gesetzes wegen aufschiebende Wirkung zukommt. Auf diesen Antrag wird daher mangels Rechtsschutzinteresses nicht weiter eingegangen.</w:t>
      </w:r>
    </w:p>
    <w:p>
      <w:r>
        <w:rPr>
          <w:b/>
        </w:rPr>
        <w:t>E. 3</w:t>
      </w:r>
    </w:p>
    <w:p>
      <w:r>
        <w:t>Die Kognition des Bundesverwaltungsgerichts und die zulässigen Rügen richten sich im Asylbereich nach Art. 106 Abs. 1 AsylG, im Bereich des Aus- länderrechts nach Art. 49 VwVG (vgl. BVGE 2014/26 E. 5).</w:t>
      </w:r>
    </w:p>
    <w:p>
      <w:r>
        <w:t>E-1204/2020 Seite 7</w:t>
      </w:r>
    </w:p>
    <w:p>
      <w:r>
        <w:rPr>
          <w:b/>
        </w:rPr>
        <w:t>E. 4.1</w:t>
      </w:r>
    </w:p>
    <w:p>
      <w:r>
        <w:t>In der Beschwerde werden formelle Rügen erhoben, welche vorab zu beurteilen sind, da sie gegebenenfalls geeignet sind, eine Kassation der vorinstanzlichen Verfügung zu bewirken (vgl. BGE 138 I 232 E. 5). Seitens des Beschwerdeführers wird eine Verletzung des Untersuchungsgrundsat- zes und des Anspruchs auf rechtliches Gehör gerügt.</w:t>
      </w:r>
    </w:p>
    <w:p>
      <w:r>
        <w:rPr>
          <w:b/>
        </w:rPr>
        <w:t>E. 4.2.1</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w:t>
      </w:r>
    </w:p>
    <w:p>
      <w:r>
        <w:rPr>
          <w:b/>
        </w:rPr>
        <w:t>E. 4.2.2</w:t>
      </w:r>
    </w:p>
    <w:p>
      <w:r>
        <w:t>Gemäss Art. 29 VwVG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(vgl. BGE 136 I 184 E. 2.2.1).</w:t>
      </w:r>
    </w:p>
    <w:p>
      <w:r>
        <w:rPr>
          <w:b/>
        </w:rPr>
        <w:t>E. 4.3.1</w:t>
      </w:r>
    </w:p>
    <w:p>
      <w:r>
        <w:t>Der Beschwerdeführer bringt vor, die Vorinstanz habe es versäumt, die jüngsten Entwicklungen hinsichtlich der sri-lankischen Minderheit zu berücksichtigen. Es seien weder die Auswirkungen der Terroranschläge vom 21. April 2019 in Colombo, noch der Vorfall vom 25. November 2019, bei welchem eine sri-lankische Mitarbeiterin der Schweizer Botschaft von fünf Männern des CID entführt worden sei, in der angefochtenen Verfügung</w:t>
      </w:r>
    </w:p>
    <w:p>
      <w:r>
        <w:t>E-1204/2020 Seite 8 berücksichtigt worden. Das Gericht hält diesbezüglich fest, dass in der an- gefochtenen Verfügung unter Ziffer II. auf Seite 6 und 7 ausführlich auf die jüngsten Entwicklungen in Sri Lanka eingegangen wird, insbesondere wird unter derselben Ziffer auf Seite 5 und 7 auf den Terroranschlag vom 21. Ap- ril 2019 Bezug genommen. Aus den Ausführungen des Beschwerdeführers ist zudem nicht ersichtlich, inwiefern der Vorfall vom 25. November 2019 einen persönlichen Bezug zu ihm gehabt haben soll.</w:t>
      </w:r>
    </w:p>
    <w:p>
      <w:r>
        <w:rPr>
          <w:b/>
        </w:rPr>
        <w:t>E. 4.3.2</w:t>
      </w:r>
    </w:p>
    <w:p>
      <w:r>
        <w:t>Soweit der Beschwerdeführer eine gewisse Gedächtnisschwäche geltend machte, ist festzuhalten, dass lediglich im Arztbericht vom (…) (vgl. Akten des Bundesverwaltungsgerichts [nachfolgend: BVGer-act.] 5 Beilage 4) unter dem Titel «Beurteilung», nicht unter dem Titel «Diagnose», erwähnt wird, dass eine Gedächtnisstörung vorliege und diese am ehesten im Zusammenhang mit der Stimmungslage und dem schlechten Schlaf zu werten sei. In der Beurteilung im vorangehenden Arztbericht E._______ (vgl. BVGer-act. 5 Beilage 5) wird lediglich eine (…) festgestellt, eine Ge- dächtnisstörung wird nicht erwähnt. Aus den Akten ergeben sich keine Hin- weise auf eine diagnostizierte Gedächtnisschwäche. Der Beschwerdefüh- rer hat mit Blick auf seine Mitwirkungspflicht gemäss Art. 8 AsylG diesbe- züglich weder im Rahmen des vor- instanzlichen Verfahrens noch auf Beschwerdeebene entsprechende ärzt- liche Berichte eingereicht. Dies wäre indes zu erwarten gewesen, zumal der Beschwerdeführer im Rechtsmittelverfahren diverse Arztberichte be- züglich anderer gesundheitlicher Beschwerden ([…]) einreichte. Dem Arzt- bericht vom (…) (vgl. BVGer-act. 5 Beilage 2) ist zu entnehmen, dass der Beschwerdeführer an (…) leide. Eine Gedächtnisschwäche ergibt sich auch daraus nicht. Im Übrigen ist festzuhalten, dass psychische Beeinträchtigungen nicht per se und unabhängig von deren Schweregrad gegen die Befragungsfähigkeit der anzuhörenden Person sprechen (vgl. Urteil des BVGer E-3410/2017 vom 22. März 2019 E. 9.1.3). Anlässlich der ersten Anhörung vom 12. Juli 2019 führte der Beschwerdeführer zu seinem Gesundheitszustand auch lediglich aus, er mache sich Sorgen, es gehe ihm nicht gut (unter Verweis auf die Akten der Vorinstanz [nachfolgend: SEM-act.] A25 Q15). Anlässlich der zweiten Anhörung vom 11. September 2019 führte er aus, er leide psy- chisch, könne nicht essen und schlafen und zittere manchmal (vgl. SEM- act. A29 Q4). Den beiden Anhörungsprotokollen lässt sich jedoch in keiner Weise entnehmen, eine Konversation oder Interaktion mit dem Beschwer- deführer hätte sich in besonderer Weise als schwierig gestaltet. Ob und in welchem Ausmass bereits im Zeitpunkt der Befragungen im Jahre 2019</w:t>
      </w:r>
    </w:p>
    <w:p>
      <w:r>
        <w:t>E-1204/2020 Seite 9 eine psychische Beeinträchtigung vorlag und inwiefern sie sich damals tat- sächlich auf sein Aussageverhalten auswirkte, ist retrospektiv nur schwer einzuschätzen. Es kann aufgrund der Befragungsprotokolle jedoch nicht festgestellt werden, er hätte beim Verbalisieren seiner Gedanken Mühe ge- habt oder der Befragung nicht folgen können beziehungsweise die ihm ge- stellten Fragen nicht verstanden. Sodann stellte auch die an den damali- gen Anhörungen anwesende Hilfswerkvertretung keine Auffälligkeiten in Bezug auf das (Aussage-)Verhalten des Beschwerdeführers fest (vgl. SEM-act. A25 und A29, jeweils Unterschriftenblatt der Hilfswerkvertre- tung). Des Weiteren geht aus der Beschwerde nicht substantiiert hervor, wie sich eine allenfalls bereits im Jahre 2019 befragungsrelevante psychi- sche Beeinträchtigung konkret – insbesondere auf welche Vorbringen – ausgewirkt haben soll. Auch wenn bis zu einem gewissen Grad nachvoll- ziehbar ist, dass dem Beschwerdeführer eine solche Darlegung im Nach- hinein schwerfallen dürfte, vermag dies im Ergebnis nichts an der ihn tref- fenden Beweislast (vgl. Art. 7 AsylG) zu ändern. Im Ergebnis vermag er nicht überzeugend darzulegen, dass im Befragungszeitpunkt eine psychi- sche Beeinträchtigung in einem Ausmass vorlag, welche es ihm verunmög- licht hätte, sich sachgerecht zu seiner Verfolgungssituation zu äussern.</w:t>
      </w:r>
    </w:p>
    <w:p>
      <w:r>
        <w:rPr>
          <w:b/>
        </w:rPr>
        <w:t>E. 4.3.3</w:t>
      </w:r>
    </w:p>
    <w:p>
      <w:r>
        <w:t>Nach dem Gesagten erweist sich das Vorgebrachte unter dem As- pekt des Untersuchungsgrundsatzes und des rechtlichen Gehörs als nicht begründet. Vielmehr ist festzuhalten, dass der Beschwerdeführer die (sich aus dem Untersuchungsgrundsatz ergebende) Frage der Feststellung des rechtserheblichen Sachverhalts mit derjenigen der rechtlichen Würdigung dieses Sachverhalts vermengt. Die Vorinstanz hat in ihrer Verfügung rechtsgenüglich und nachvollziehbar dargelegt, weshalb sie das Asylge- such abgelehnt hat.</w:t>
      </w:r>
    </w:p>
    <w:p>
      <w:r>
        <w:rPr>
          <w:b/>
        </w:rPr>
        <w:t>E. 4.4</w:t>
      </w:r>
    </w:p>
    <w:p>
      <w:r>
        <w:t>Folglich besteht keine Veranlassung, den angefochtenen Entscheid aus formellen Gründen aufzuheben und an die Vorinstanz zurückzuweisen.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E-1204/2020 Seite 10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Nachteile von bestimmter Intensität befürchten muss, die ihr gezielt und aufgrund bestimmter Verfolgungsmotive zugefügt zu werden drohen und vor denen sie keinen ausreichenden staatlichen Schutz erwar- 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 lebte und das Wissen um Konsequenzen in vergleichbaren Fällen zu er- gänzen (vgl. BVGE 2011/50 E. 3.1.1; 2011/51 E. 6; 2008/4 E. 5.2, je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führte die Vorinstanz aus, der Beschwerdeführer habe vorgebracht, in den Jahren 2011, 2015 und 2016 zu seinem Bruder befragt worden zu sein. Hinsichtlich dieser Vorfälle würden aber konkrete Indizien und Anhaltspunkte fehlen, welche die Furcht vor einer real drohenden Ver- folgung nachvollziehbar erscheinen liessen. So lasse der Umstand, dass er im Jahr 2011 und 2015 nicht ins Camp mitgenommen worden respektive im (…) und (…) 2016 nach kurzer Zeit wieder entlassen worden sei, nicht darauf schliessen, dass die sri-lankischen Behörden ein persönliches Inte- resse an ihm gehabt hätten. Im (…) 2016 sei dem Beschwerdeführer zwar vorgeworfen worden, die LTTE wiederbeleben zu wollen, es seien aber in der Folge keine behördlichen Massnahmen diesbezüglich angeordnet oder durchgeführt worden. Auch die geltend gemachten Verhöre seien von ihrer</w:t>
      </w:r>
    </w:p>
    <w:p>
      <w:r>
        <w:t>E-1204/2020 Seite 11 Art und Intensität her nicht geeignet, die Asylrelevanz zu begründen. Zu- dem sei angesichts der Tatsache, dass sein Bruder bereits im Jahr 2010 verschollen sei, nicht von einem erhöhten Interesse der sri-lankischen Be- hörden am Beschwerdeführer auszugehen, welches bis heute andauere. Dass es sich beim Beweggrund des CID, den Beschwerdeführer im (…) 2016 ins C._______-Camp vorzuladen, um ein persönliches Motiv – näm- lich Rache – gehandelt habe, vermöge an den vorinstanzlichen Erwägun- gen nichts zu ändern, wonach keine hinreichenden Anhaltspunkte dafür vorlägen, dass er zum Zeitpunkt der Ausreise asylbeachtliche Nachteile zu gewärtigen gehabt habe respektive, dass eine begründete Furcht vor zu- künftiger Verfolgung vorliege. Vor diesem Hintergrund müsse das Ereignis vom (…) 2016, anlässlich dessen er nebst dem Verhör misshandelt worden sei und Schmerzen erlitten habe, als abgeschlossenes Ereignis betrachtet werden. Die Vorinstanz führte weiter aus, dass es in Bezug auf die Vorla- dung, nach welcher der Beschwerdeführer sich am (…) 2016 im Camp hätte einfinden müssen, Widersprüche im Aussageverhalten gebe, welche er nicht aufzulösen vermocht habe. Unter dem Aspekt der Rückkehr nach Sri Lanka hielt die Vorinstanz unter anderem fest, dass es möglich sei, bei einer solchen befragt zu werden, diese Befragung nehme aber kein asylrelevantes Ausmass an, was auch die Einreise und Reintegration des Beschwerdeführers nach seinem Auf- enthalt in Indien belege. Hinsichtlich der Terroranschläge vom 21. April 2019 habe es der Beschwerdeführer nicht vermocht, einen persönlichen Konnex zu diesen herzustellen. Er habe zwar dargelegt, dass sein Haus in B._______ damals kontrolliert worden sei, den Akten sei aber nicht zu ent- nehmen, dass diese Kontrollen weiterreichende Massnahmen nach sich gezogen hätten.</w:t>
      </w:r>
    </w:p>
    <w:p>
      <w:r>
        <w:rPr>
          <w:b/>
        </w:rPr>
        <w:t>E. 6.2</w:t>
      </w:r>
    </w:p>
    <w:p>
      <w:r>
        <w:t>Der Beschwerdeführer entgegnet, die Vorinstanz habe vorgebracht, er habe die Polizei nicht um Hilfe ersucht, es sei aber festzuhalten, dass das CID und die Polizei in Sri Lanka eng zusammenarbeiten würden und es somit nicht möglich sei, vorliegend von der Polizei Schutz zu erhalten. Zu- dem habe die Vorinstanz ausgeführt, es handle sich um eine lediglich lo- kale Verfolgung, er könne somit in einen anderen Landesteil umziehen. Dies sei aber nicht möglich, da das CID eine Geheimpolizei sei, welche im ganzen Land und nicht nur lokal tätig sei. Die Vorinstanz bringe ferner vor, seine Vorbringen seien vage und nicht detailliert. Hierzu sei auf seine psy- chischen Probleme hinzuweisen, welche teilweise zu unpräzisen Antwor- ten geführt hätten und insbesondere durch die tragischen Ereignisse, wie die Befragung durch das CID am (…) 2016, ausgelöst worden seien. Unter</w:t>
      </w:r>
    </w:p>
    <w:p>
      <w:r>
        <w:t>E-1204/2020 Seite 12 Berücksichtigung seiner psychischen Probleme seien seine Vorbringen als glaubhaft gemäss Art. 7 AsylG zu qualifizieren. Hinsichtlich einer Rückkehr führt er aus, es handle sich bei ihm um einen Aktivisten der LTTE und als solcher verfüge er über ein Risikoprofil, wel- ches ihn in den Fokus der sri-lankischen Behörden rücken würde. Zudem sei er seit fast drei Jahren landesabwesend, was ebenfalls ein Risikofaktor darstelle.</w:t>
      </w:r>
    </w:p>
    <w:p>
      <w:r>
        <w:rPr>
          <w:b/>
        </w:rPr>
        <w:t>E. 7.01</w:t>
      </w:r>
    </w:p>
    <w:p>
      <w:r>
        <w:t>auf Seite 7 in freier Rede aus, dass er am (…) 2016 wieder im Camp hätte erscheinen müssen. Anlässlich der zweiten Befragung legte er seine Verfolgungssituation dar, erwähnte dabei aber nicht, dass er dasjenige Da- tum, welches er anlässlich der BzP genannt hat, nämlich der (…) 2016, errechnet habe. Vielmehr führte er aus, dass er vielleicht im Folgemonat aufgeboten werden würde. Der Vorinstanz ist daher zu folgen, dass es dem Beschwerdeführer nicht gelingt, den besagten Widerspruch zu klären. Die Ausführungen hinsichtlich der diesbezüglichen Vorladung ins Camp erfül- len daher die Anforderungen an die Glaubhaftigkeit gemäss Art. 7 AsylG nicht.</w:t>
      </w:r>
    </w:p>
    <w:p>
      <w:r>
        <w:rPr>
          <w:b/>
        </w:rPr>
        <w:t>E. 7.1</w:t>
      </w:r>
    </w:p>
    <w:p>
      <w:r>
        <w:t>Nach Durchsicht der Akten kommt das Gericht zum Schluss, dass sich die geltend gemachte Verfolgungsfurcht des Beschwerdeführers, entgegen seinen Ausführungen, als unbegründet erweist.</w:t>
      </w:r>
    </w:p>
    <w:p>
      <w:r>
        <w:rPr>
          <w:b/>
        </w:rPr>
        <w:t>E. 7.2</w:t>
      </w:r>
    </w:p>
    <w:p>
      <w:r>
        <w:t>Vorab ist festzuhalten, dass die Vorbringen des Beschwerdeführers, die Vorinstanz habe festgehalten, der Beschwerdeführer habe sich nicht an die Polizei gewandt, sowie sein weiteres Vorbringen, die Vorinstanz habe die Verfolgung als lediglich lokal qualifiziert und es sei dem Be- schwerdeführer zuzumuten, in einen anderen Landesteil umzuziehen, ak- tenwidrig sind, da sich diesbezügliche Ausführungen in der angefochtenen Verfügung nicht finden lassen. Auf diese Vorbringen wird daher nicht weiter eingegangen. Im Weiteren ist festzustellen, dass es in der Beschwerde an einer substan- tiierten Auseinandersetzung mit der Argumentation der Vorinstanz fehlt. Die in der Beschwerde enthaltenen Ausführungen sind vielmehr darauf be- schränkt, das von der Vorinstanz teilweise als widersprüchlich und un- glaubhaft qualifizierte Aussageverhalten des Beschwerdeführers anläss- lich der Anhörungen mit seinen psychischen Problemen zu erklären versu- chen.</w:t>
      </w:r>
    </w:p>
    <w:p>
      <w:r>
        <w:rPr>
          <w:b/>
        </w:rPr>
        <w:t>E. 7.3</w:t>
      </w:r>
    </w:p>
    <w:p>
      <w:r>
        <w:t>Die Vorinstanz erachtet die Vorbringen des Beschwerdeführers hin- sichtlich der erneuten Vorladung durch das CID zu Recht als widersprüch- lich. Es gehe aus seinen Vorbringen anlässlich der BzP hervor, dass die Behörde nach seiner Entlassung zu ihm nachhause gekommen sei und ihm mitgeteilt habe, dass er sich am (…) 2016 im Camp einzufinden habe. Er habe daraufhin Angst gehabt, zuhause zu bleiben, und sei stattdessen nach Colombo gegangen (SEM-act. A5 S. 7). Anlässlich der vertieften An- hörung habe er aber vorgebracht, die Behörden hätten ihm anlässlich der Freilassung gesagt, sie würden ihn vielleicht im folgenden Monat wieder</w:t>
      </w:r>
    </w:p>
    <w:p>
      <w:r>
        <w:t>E-1204/2020 Seite 13 herbeirufen. Aus diesem Grund sei er am Tag seiner Freilassung nach Co- lombo gereist (unter Verweis auf SEM-act. A25 S. 9). Ferner ergibt sich aus dem Protokoll, die Behörden seien zu seinen Eltern nachhause gegangen und hätten diese gefragt, wo er sei, worauf diese geantwortet hätten, sie würden ihn zur Befragung mitnehmen, wenn er da sei (unter Verweis auf SEM-act. A25 S. 10). Die Vorinstanz gab anlässlich der zweiten Anhörung dem Beschwerdeführer die Gelegenheit, den Widerspruch zwischen den Vorbringen an der BzP und denjenigen an der zweiten Anhörung aufzulö- sen. Hierbei führte er aus, er habe das Datum selber ausgerechnet, da er gehört habe, wie jemand gesagt habe, dass es der nächste Monat sein könne, in welchem er zu erscheinen habe (vgl. SEM-act. A25 Q84). Mit dieser Erklärung gelingt es dem Beschwerdeführer nicht, den Widerspruch in seinen Vorbringen zu beseitigen. So führte er anlässlich der BzP in Ziffer</w:t>
      </w:r>
    </w:p>
    <w:p>
      <w:r>
        <w:rPr>
          <w:b/>
        </w:rPr>
        <w:t>E. 7.4</w:t>
      </w:r>
    </w:p>
    <w:p>
      <w:r>
        <w:t>Sodann hat die Vorinstanz zu Recht festgestellt, dass die Erkundigun- gen des CID nach dem Bruder des Beschwerdeführers in den Jahren 2011, 2015 und 2016 eine konkrete flüchtlingsrechtlich relevante Verfolgungsge- fahr im Zeitpunkt der Ausreise nicht begründen könne. Um Wiederholun- gen zu vermeiden, ist diesbezüglich auf die vorinstanzliche Verfügung zu verweisen. Den Vorbringen in der Beschwerde, der Beschwerdeführer sei bei seinen Befragungen durch das CID geschlagen und gefoltert worden (unter Verweis auf das Protokoll der ersten Anhörung, Seite 9), ist zu ent- gegnen, dass die Vorinstanz diesen Sachverhaltskomplex zu Recht als ab- geschlossen beurteilte und richtigerweise feststellte, dass diesem das Wegstossen des CID-Beamten durch den Beschwerdeführer anlässlich des Besuches im (…) 2015 zugrunde lag. Aus dem besagten Vorbringen des Beschwerdeführers kann er nichts zu seinen Gunsten ableiten, da das diesbezügliche Motiv – nämlich Rache – vorliegend keine flüchtlingsrecht- liche Relevanz aufweist. Auch dasjenige Vorbringen des Beschwerdefüh- rers, er habe während der Besuche des Militärs und des CID bei ihm im Dorf Gewalt erlitten (unter Verweis auf das Protokoll der ersten Anhörung,</w:t>
      </w:r>
    </w:p>
    <w:p>
      <w:r>
        <w:t>E-1204/2020 Seite 14 Seite 8), ist unbegründet. Dem genannten Protokollabschnitt ist zu entneh- men, dass der Vater des Beschwerdeführers tätlich angegriffen worden sei und der Beschwerdeführer daraufhin den CID-Beamten weggestossen habe. Die gewaltsame Reaktion der CID-Beamten ist daher im Angriff des Beschwerdeführers begründet, weshalb ebenfalls nicht von einem flücht- lingsrechtlichen Motiv auszugehen ist. Aus den Akten sind im Weiteren keine weitergehenden Konsequenzen ersichtlich, welche eine Intensität aufweisen würden, um flüchtlingsrechtlich relevant sein zu können. Daran ändern auch die mit der Beschwerde eingereichten Briefe nichts, da diese als Gefälligkeitsschreiben qualifiziert werden müssen und entsprechend nur einen geringen Beweiswert aufweisen. Aufgrund des Gesagten lag keine begründete Verfolgungsfurcht im Zeitpunkt der Ausreise vor.</w:t>
      </w:r>
    </w:p>
    <w:p>
      <w:r>
        <w:rPr>
          <w:b/>
        </w:rPr>
        <w:t>E. 8.1</w:t>
      </w:r>
    </w:p>
    <w:p>
      <w:r>
        <w:t>Zu prüfen bleibt, ob dem Beschwerdeführer bei einer Rückkehr nach Sri Lanka ernsthafte Nachteile drohen würden.</w:t>
      </w:r>
    </w:p>
    <w:p>
      <w:r>
        <w:rPr>
          <w:b/>
        </w:rPr>
        <w:t>E. 8.2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 Umständen bereits für sich alleine genommen zur Bejahung einer begrün- deten Furcht führen könnten. Demgegenüber würden das Fehlen ordentli- cher Identitätsdokumente, eine zwangsweise respektive durch die Interna- tionale Organisation für Migration begleitete Rückführung sowie gut sicht- bare Narben schwach risikobegründende Faktoren darstellen. Dies be- deute, dass diese in der Regel für sich alleine genommen keine relevante Furcht vor ernsthaften Nachteilen zu begründen vermöchten. Jegliche glaubhaft gemachten Risikofaktoren seien in einer Gesamtschau und in ih- rer Wechselwirkung sowie unter Berücksichtigung der konkreten Um- stände in einer Einzelfallprüfung zu berücksichtigen, mit dem Ziel, zu er- wägen, ob mit beachtlicher Wahrscheinlichkeit eine flüchtlingsrechtlich re- levante Verfolgung bejaht werden müsse (vgl. a.a.O. E. 8.5.5).</w:t>
      </w:r>
    </w:p>
    <w:p>
      <w:r>
        <w:rPr>
          <w:b/>
        </w:rPr>
        <w:t>E. 8.3</w:t>
      </w:r>
    </w:p>
    <w:p>
      <w:r>
        <w:t>Es kann nicht ausgeschlossen werden, dass der Beschwerdeführer bei der Rückkehr nach Sri Lanka bei der Wiedereinreise einer Befragung und Überprüfung durch die Grenzbehörden unterzogen wird. Ein solches Vor- gehen kann aber nicht als relevante Verfolgung gewertet werden, und für ein darüberhinausgehendes Verfolgungsinteresse der sri-lankischen Be- hörden sind keine massgeblichen Hinweise ersichtlich. Der Beschwerde- führer erfüllt aufgrund der Verbindungen seines Bruders zu den LTTE zwar</w:t>
      </w:r>
    </w:p>
    <w:p>
      <w:r>
        <w:t>E-1204/2020 Seite 15 einen stark risikobegründenden Faktor im Sinne des vorgenannten Refe- renzurteils. Diese Tatsache für sich lässt aber noch nicht den Schluss zu, dass er zu jener Gruppe zu zählen ist, die bei einer Rückkehr mit beachtli- cher Wahrscheinlichkeit und in absehbarer Zukunft ernsthafte Nachteile im Sinne von Art. 3 AsylG zu befürchten hat (vgl. Urteil des BVGer D-5759/2019 vom 27. November 2020 E. 7.2; D-2638/2019 vom 9. Okto- ber 2020 E. 7.2; E-1782/2018 vom 18. September 2020 E. 6.5.2). Diesbe- züglich ist nämlich festzustellen, dass der Bruder des Beschwerdeführers seit dem Jahr 2010 verschwunden ist und es seitdem zu keinem aktenkun- digen Kontakt zum Beschwerdeführer mehr gekommen ist. Auch aus den eingereichten Beweismitteln vermag der Beschwerdeführer nichts für sich abzuleiten. Das undatierte Schreiben von I._______, der Mutter des Beschwerdeführers, muss als Gefälligkeitsschreiben betrachtet werden und ist daher nur von geringem Beweiswert. Die eingereichten Fo- tos sollen eine Hausdurchsuchung bei den Eltern des Beschwerdeführers zeigen. Die lediglich von Hand datierten respektive undatierten Fotos ver- mögen jedoch nicht, die Suche des CID nach dem Beschwerdeführer bei seinen Eltern glaubhaft zu machen. In Würdigung sämtlicher Umstände ist somit anzunehmen, dass der Be- schwerdeführer von der sri-lankischen Regierung nicht zu jener kleinen Gruppe gezählt wird, die bestrebt ist, den tamilischen Separatismus wieder aufleben zu lassen, und so eine Gefahr für den sri-lankischen Einheitsstaat darstellt.</w:t>
      </w:r>
    </w:p>
    <w:p>
      <w:r>
        <w:rPr>
          <w:b/>
        </w:rPr>
        <w:t>E. 8.4</w:t>
      </w:r>
    </w:p>
    <w:p>
      <w:r>
        <w:t>Der Ausgang der Kommunalwahlen vom 10. Februar 2018 und der am 26. Oktober 2018 begonnene Machtkampf zwischen Sirisena, Rajapaksa und Wickremesinghe sowie die Präsidentschaftswahlen von November 2019 vermögen an dieser Lageeinschätzung nichts zu ändern. Die aktuelle Lage in Sri Lanka war nach den Terroranschlägen im April 2019 zwar als volatil zu beurteilen, jedoch ist aufgrund dessen nicht auf eine generell er- höhte Gefährdung von zurückkehrenden tamilischen Staatsangehörigen zu schliessen. Insofern ist an der Lageeinschätzung im in E. 8.2 genannten Referenzurteil weiterhin festzuhalten. Am 16. November 2019 wurde Gotabaya Rajapaksa zum neuen Präsiden- ten Sri Lankas gewählt. Gotabaya Rajapaksa war unter seinem älteren Bruder, dem ehemaligen Präsidenten Mahinda Rajapaksa, der von 2005 bis 2015 an der Macht war, Verteidigungssekretär. Er wurde angeklagt,</w:t>
      </w:r>
    </w:p>
    <w:p>
      <w:r>
        <w:t>E-1204/2020 Seite 16 zahlreiche Verbrechen gegen Journalistinnen und Journalisten sowie Akti- visten begangen zu haben. Zudem wird er von Beobachtern für Menschen- rechtsverletzungen und Kriegsverbrechen verantwortlich gemacht; er be- streitet die Anschuldigungen. Kurz nach der Wahl ernannte der neue Prä- sident seinen Bruder Mahinda zum Premierminister und band einen weite- ren Bruder, Chamal Rajapaksa, in die Regierung ein. Mahinda Rajapaksa trat am 9. Mai 2022 inmitten einer Welle der Gewalt mit etlichen Toten und Verletzten zurück. Am 12. Mai 2022 wurde Ranil Wickremesinghe als Pre- mierminister vereidigt. Das Bundesverwaltungsgericht ist sich dieser Ver- änderungen in Sri Lanka bewusst. Es beobachtet die Entwicklungen auf- merksam und berücksichtigt diese bei seiner Entscheidfindung. Zwar ist beim derzeitigen Kenntnisstand durchaus von einer möglichen Akzentuie- rung der Gefährdungslage auszugehen, der Personen mit einem bestimm- ten Risikoprofil ausgesetzt sind beziehungsweise bereits vorher ausge- setzt waren (vgl. das in E. 8.2 genannte Referenzurteil, HRW, Sri Lanka: Families of "Disappeared" Threatened, 16.02.2020). Dennoch gibt es zum heutigen Zeitpunkt keinen Grund zur Annahme, dass seit dem Machtwech- sel in Sri Lanka ganze Bevölkerungsgruppen kollektiv einer Verfolgungs- gefahr ausgesetzt wären. Unter diesen Umständen ist im Einzelfall zu prü- fen, ob ein persönlicher Bezug der asylsuchenden Personen zur Präsident- schaftswahl vom 16. November 2019 respektive deren Folgen besteht. Auch die aktuellen wirtschaftlichen und politischen Entwicklungen führen nicht zur Annahme, dass aufgrund dieser ganze Bevölkerungsgruppen kol- lektiv einer Verfolgungsgefahr ausgesetzt wären. Ein persönlicher Bezug zum Beschwerdeführer besteht auch hier nicht. Es ist – auch unter Berück- sichtigung der neusten Entwicklungen in Sri Lanka – nicht davon auszuge- hen, dass ihm persönlich im Falle einer Rückkehr ernsthafte Nachteile im Sinne von Art. 3 AsylG drohen würden.</w:t>
      </w:r>
    </w:p>
    <w:p>
      <w:r>
        <w:rPr>
          <w:b/>
        </w:rPr>
        <w:t>E. 8.5</w:t>
      </w:r>
    </w:p>
    <w:p>
      <w:r>
        <w:t>Zusammenfassend ist es dem Beschwerdeführer nicht gelungen, die Flüchtlingseigenschaft nachzuweisen oder glaubhaft zu machen. Die Vor- instanz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E-1204/2020 Seite 17</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w:t>
      </w:r>
    </w:p>
    <w:p>
      <w:r>
        <w:rPr>
          <w:b/>
        </w:rPr>
        <w:t>E. 10.2.2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E-1204/2020 Seite 18 keine Anwendung finden. Eine Rückkehr des Beschwerdeführers in den Heimatstaat ist demnach unter dem Aspekt von Art. 5 AsylG rechtmässig.</w:t>
      </w:r>
    </w:p>
    <w:p>
      <w:r>
        <w:rPr>
          <w:b/>
        </w:rPr>
        <w:t>E. 10.2.4</w:t>
      </w:r>
    </w:p>
    <w:p>
      <w:r>
        <w:t>Sodann ergeben sich weder aus den Aussagen des Beschwerdeführers noch aus den Akten Anhaltspunkte dafür, dass er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 mer 37201/06, §§ 124–127 m.w.H.). Zudem ergeben sich auch keine kon- kreten Hinweise darauf, dass er bei einer Rückkehr nach Sri Lanka mit be- achtlicher Wahrscheinlichkeit Massnahmen zu befürchten hätte, die über einen sogenannten "Background Check" (Befragung und Überprüfung von Tätigkeiten im In- und Ausland) hinausgehen würden, oder dass er persön- lich gefährdet wäre.</w:t>
      </w:r>
    </w:p>
    <w:p>
      <w:r>
        <w:rPr>
          <w:b/>
        </w:rPr>
        <w:t>E. 10.2.5</w:t>
      </w:r>
    </w:p>
    <w:p>
      <w:r>
        <w:t>Die allgemeine Menschenrechtssituation in Sri Lanka lässt den Wegweisungsvollzug nach Auffassung des Gerichts nicht unzulässig er- scheinen (vgl. Urteil des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10.2.6</w:t>
      </w:r>
    </w:p>
    <w:p>
      <w:r>
        <w:t>Nach dem Gesagten ist der Vollzug der Wegweisung sowohl im Sinn der flüchtlings- als auch der völkerrechtlichen Bestimmungen zuläs- sig.</w:t>
      </w:r>
    </w:p>
    <w:p>
      <w:r>
        <w:t>E-1204/2020 Seite 19</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 ran vermag auch die zur Zeit in weiten Teilen Sri Lankas herrschende an- 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 zeitlich erneute Akzentuierung – die ganze sri-lankische Bevölkerung be- trifft.</w:t>
      </w:r>
    </w:p>
    <w:p>
      <w:r>
        <w:rPr>
          <w:b/>
        </w:rPr>
        <w:t>E. 10.3.3</w:t>
      </w:r>
    </w:p>
    <w:p>
      <w:r>
        <w:t>Der Beschwerdeführer stammt aus B._______, Distrikt Jaffna, Nordprovinz. Er verfügt über ein Diplom als J._______, ist ledig und hat keine familiären Verpflichtungen. Gemäss seinen Ausführungen würden seine Eltern in B._______ leben. Er habe ein (…) Praktikum in Colombo absolviert und habe anschliessend in Jaffna als (…) gearbeitet. Unter den gegebenen Umständen erscheint ein familiäres Beziehungsnetz vorhan- den sowie eine berufliche Wiedereingliederung zumutbar. Der Beschwerdeführer gab diverse Arztberichte zu den Akten. (…). Aus gesundheitlichen Gründen kann nur dann auf Unzumutbarkeit des Wegweisungsvollzugs im Sinne von Art. 83 Abs. 4 AIG geschlossen wer- den, wenn eine dringend notwendige medizinische Behandlung im Heimat- land nicht zur Verfügung steht und die fehlende Möglichkeit der (Weiter-) Behandlung bei einer Rückkehr zu einer raschen und lebensgefährdenden Beeinträchtigung des Gesundheitszustands, zur Invalidität oder gar zum</w:t>
      </w:r>
    </w:p>
    <w:p>
      <w:r>
        <w:t>E-1204/2020 Seite 20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mit Verweis auf die vorstehen- den Ausführungen nicht auszugehen. Ferner hat Sri Lanka hinsichtlich der medizinischen Versorgung grosse Fortschritte gemacht; in den letzten Jah- ren wurde zunehmend in das Gesundheitswesen investiert. Staatliche Krankenhäuser sind in jeder grösseren Stadt angesiedelt, verfügen über modernes Gerät und bieten viele Behandlungsmethoden an. Auch psychi- sche Probleme sind in Sri Lanka gemäss ständiger Rechtsprechung adä- quat behandelbar (vgl. statt vieler Urteile des BVGer E-1756/2020 vom 6. April 2022 E. 8.3 m.w.H. und D-640/2019 vom 14. Juli 2021 E. 7.3.2 m.w.H.). Es ist demnach davon auszugehen, dass eine weiterführende oder erneute Behandlung der aktenkundigen gesundheitlichen Probleme auch in Sri Lanka erhältlich wäre. An dieser Einschätzung vermag der Um- stand, dass die Behandlungsmöglichkeiten in Sri Lanka deutlich schwerer zugänglich sind als in der Schweiz, nichts zu ändern. Hinsichtlich einer all- fälligen Gefahr der Suizidalität bei einem zwangsweisen Wegweisungsvoll- zug ist darauf hinzuweisen, dass vom Vollzug der Wegweisung gemäss konstanter Rechtsprechung nicht Abstand zu nehmen ist, solange Mass- nahmen zur Verhütung der Umsetzung einer Suiziddrohung getroffen wer- den können (vgl. etwa Urteil des BVGer D-4227/2020 vom 4. März 2021 E. 8.3). Schliesslich ist auf die Möglichkeit hinzuweisen, medizinische Rückkehrhilfe gemäss Art. 93 Abs. 1 Bst. d AsylG zu beantragen, welche durch die Abgabe von Medikamenten, Hilfe bei der Ausreiseorganisation oder durch Unterstützung während und nach der Rückkehr gewährt wer- den kann. Der Vollzug erweist sich aufgrund dieser Ausführungen und in Berücksich- tigung der obengenannten Referenzurteile auch in individueller Hinsicht als zumutbar, die diesbezüglichen Vorbringen des Beschwerdeführers vermö- gen daran nichts ändern.</w:t>
      </w:r>
    </w:p>
    <w:p>
      <w:r>
        <w:rPr>
          <w:b/>
        </w:rPr>
        <w:t>E. 10.3.4</w:t>
      </w:r>
    </w:p>
    <w:p>
      <w:r>
        <w:t>Es obliegt dem Beschwerdeführer, sich bei der zuständigen Vertre- tung des Heimatstaates die für eine Rückkehr notwendigen Reisedoku- mente zu beschaffen (Art. 8 Abs. 4 AsylG; vgl. BVGE 2008/34 E. 12), wes- halb der Vollzug der Wegweisung auch als möglich zu bezeichnen ist (Art. 83 Abs. 2 AIG). Allfällig im Zusammenhang mit dem Coronavirus ver- fügte Einreiseverbote und ähnliche Massnahmen durch die sri-lankischen</w:t>
      </w:r>
    </w:p>
    <w:p>
      <w:r>
        <w:t>E-1204/2020 Seite 21 Behörden stehen dem Wegweisungsvollzug – angesichts ihres vorüberge- henden Charakters – nicht entgegen (vgl. Urteile des BVGer D-968/2020 vom 31. März 2020, E-1575/2020 vom 19. Mai 2020 E. 9.4.3).</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Indessen wurde mit Instrukti- onsverfügung vom 10. März 2020 das Gesuch um Gewährung der unent- geltlichen Prozessführung gutgeheissen und es sind keine massgeblichen Änderungen der finanziellen Verhältnisse ersichtlich, weshalb auf die Er- hebung von Verfahrenskosten zu verzichten ist. Mit derselben Verfügung wurde das Gesuch um amtliche Verbeiständung gutgeheissen (aArt. 110a Abs. 1 AsylG) und dem Beschwerdeführer sein Rechtsvertreter als amtlicher Rechtsbeistand bestellt. Demnach ist diesem ein amtliches Honorar für seine notwendigen Aufwendungen im Beschwer- deverfahren auszurichten. Bei amtlicher Vertretung geht das Bundesver- waltungsgericht in der Regel von einem Stundenansatz von Fr. 200.– bis Fr. 220.– für Anwältinnen und Anwälte aus (vgl. Art. 12 i.V.m. Art. 10 Abs. 2 des Reglements vom 21. Februar 2008 über die Kosten und Entschädigun- gen vor dem Bundesverwaltungsgericht [VGKE, SR 173.320.2]). Es wurde keine Kostennote eingereicht. Der Vertretungsaufwand lässt sich aber zu- verlässig aus den Akten abschätzen (Art. 14 Abs. 2 in fine VGKE). Der Ge- samtaufwand ist auf Fr. 2'400.– (inkl. Auslagen) festzusetzen.</w:t>
      </w:r>
    </w:p>
    <w:p>
      <w:r>
        <w:t>(Dispositiv nächste Seite)</w:t>
      </w:r>
    </w:p>
    <w:p>
      <w:r>
        <w:t>E-1204/2020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