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E-1200/2024 vom 21. März 2024</w:t>
      </w:r>
    </w:p>
    <w:p>
      <w:r>
        <w:t>Bundesverwaltungsgericht, 2024-03-21, DE</w:t>
      </w:r>
    </w:p>
    <w:p>
      <w:r>
        <w:rPr>
          <w:b/>
        </w:rPr>
        <w:t xml:space="preserve">Quelle: </w:t>
      </w:r>
      <w:r>
        <w:t>https://mcp.opencaselaw.ch/entscheid/bvger_E-1200_2024</w:t>
      </w:r>
    </w:p>
    <w:p>
      <w:r>
        <w:t>FR: TAF E-1200/2024 du 21 mars 2024</w:t>
      </w:r>
    </w:p>
    <w:p>
      <w:r>
        <w:t>IT: TAF E-1200/2024 del 21 marzo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 hier interessierenden - Wiederaufnahmeverfahrens findet grundsätzlich keine (neue) Zuständigkeitsprüfung nach Kapitel III Dublin-III-VO mehr statt (vgl. zum Ganzen BVGE 2019 VI/7 E. 4-6, 2017 VI/5 E. 6.2 und 8.2.1). Der nach dieser Verordnung zuständige Mitgliedstaat ist verpflichtet, einen Drittstaatsangehörigen oder Staatenlosen, dessen Antrag von ihm abgelehnt wurde und der in einem anderen Mitgliedstaat einen Antrag gestellt hat oder der sich im Hoheitsgebiet eines anderen Mitgliedstaats ohne Aufenthaltstitel aufhält, nach Massgabe der Artikel 23, 24, 25 und 29 wiederaufzunehmen (Art. 18 Abs. 1 Bst. d Dublin-III-VO)</w:t>
      </w:r>
    </w:p>
    <w:p>
      <w:r>
        <w:rPr>
          <w:b/>
        </w:rPr>
        <w:t>E. 3.3</w:t>
      </w:r>
    </w:p>
    <w:p>
      <w:r>
        <w:t>Erweist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Ein Abgleich der Fingerabdrücke des Beschwerdeführers mit der "Eurodac"-Datenbank ergab, dass dieser am (...) Juli 2018 sowie erneut am (...) August 2023 in Österreich Asylgesuche eingereicht hatte. Die österreichischen Behörden stimmten dem Gesuch des SEM um Übernahme am (...) November 2023 gestützt auf Art. 18 Abs. 1 Bst. d Dublin-III-VO zu. Die grundsätzliche Zuständigkeit Österreichs ist somit gegeben</w:t>
      </w:r>
    </w:p>
    <w:p>
      <w:r>
        <w:rPr>
          <w:b/>
        </w:rPr>
        <w:t>E. 5</w:t>
      </w:r>
    </w:p>
    <w:p>
      <w:r>
        <w:t>Der Beschwerdeführer bringt in seinem Rechtsmittel im Wesentlichen vor, die «österreichische Asylbehörde» hätte sein Asylgesuch trotz der von ihm eingereichten Beweismittel abgelehnt. Dies sei für ihn nicht nachvollziehbar. Es sei allgemein bekannt, dass kurdische Asylbewerber von Österreich in die Türkei «zurückgeschickt» worden seien. Die Überstellung nach Österreich verletze seiner Auffassung zufolge Art. 3 EMRK und Art. 5 AsylG, da dies für den Beschwerdeführer mutmasslich eine langjährige Haft und menschenunwürdige Behandlung zur Folge hätte. Schliesslich sei die Schweiz zum Selbsteintritt verpflichtet, ansonsten das Non-Refoulement Gebot verletzt sei. Als Beweismittel reicht der Beschwerdeführer auf Rechtsmittelebene eine Kopie eines türkischen Strafurteils inklusive deutscher Übersetzung ein, welches auf den (...) datiert ist.</w:t>
      </w:r>
    </w:p>
    <w:p>
      <w:r>
        <w:rPr>
          <w:b/>
        </w:rPr>
        <w:t>E. 6.1</w:t>
      </w:r>
    </w:p>
    <w:p>
      <w:r>
        <w:t>Das SEM hat zutreffend festgehalten, dass es keine Anhaltspunkte für Schwachstellen des österreichischen Asylverfahrens und der Aufnahme-bedingungen für asylsuchende Personen in Österreich im Sinn von Art. 3 Abs. 2 Dublin-III-VO gibt, welche die Gefahr einer unmenschlichen oder entwürdigenden Behandlung gemäss Art. 4 EU-Grundrechtcharta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Etwas anderes macht letztlich auch der Beschwerdeführer nicht geltend, auch wenn er sich enttäuscht über den Ausgang seines Asylverfahrens in Österreich zeigt.</w:t>
      </w:r>
    </w:p>
    <w:p>
      <w:r>
        <w:rPr>
          <w:b/>
        </w:rPr>
        <w:t>E. 6.2</w:t>
      </w:r>
    </w:p>
    <w:p>
      <w:r>
        <w:t>Es gibt keine Hinweise darauf, dass negative Entscheide der österreichischen Asylbehörden nicht im Rahmen eines rechtsstaatlich korrekten Verfahrens ergehen würden (vgl. Urteil des BVGer E-6457/2023 vom 29. November 2023, E.5.2.) beziehungsweise in seinem konkreten Fall nicht rechtsstaatlich korrekt ergangen seien. An dieser Einschätzung vermag auch die pauschale Kritik des Beschwerdeführers an dem Ausgang des österreichischen Asylverfahrens nichts zu ändern (vgl. Beschwerde S. 4). Der Beschwerdeführer verkennt, dass der vorliegende Prozessgegenstand die Prüfung der staatlichen Zuständigkeit für sein Asylgesuch beinhaltet - und notabene nicht die Beurteilung seiner materiellen Asylvorbringen. Soweit er allgemeine Kritik am österreichischen Asylverfahren vorträgt, ist dies als appellatorische Kritik zu qualifizieren. Es steht ihm frei, seine Asylvorbringen, allfällige Beweismittel, neue Erkenntnisse und Ähnliches im österreichischen Asylverfahren einzubringen und im Falle eines Unterliegens, die ihm offenstehenden Rechtsmittel auszuschöpfen. Schliesslich sind den Akten keine Anhaltspunkte für die Annahme einer (erfolgten oder zukünftigen) Verletzung des Refoulement-Verbots durch Österreich zu entnehmen.</w:t>
      </w:r>
    </w:p>
    <w:p>
      <w:r>
        <w:rPr>
          <w:b/>
        </w:rPr>
        <w:t>E. 6.3</w:t>
      </w:r>
    </w:p>
    <w:p>
      <w:r>
        <w:t>Unter diesen Umständen ist die Anwendung von Art. 3 Abs. 2 Dublin-III-VO nicht gerechtfertigt.</w:t>
      </w:r>
    </w:p>
    <w:p>
      <w:r>
        <w:rPr>
          <w:b/>
        </w:rPr>
        <w:t>E. 7.1</w:t>
      </w:r>
    </w:p>
    <w:p>
      <w:r>
        <w:t>Die Vorinstanz hat sodann die Anwendung des Selbsteintrittsrechts im Sinn von Art. 17 Abs. 1 Dublin-III-VO sowie Art. 29a Abs. 3 AsylV 1 zu Recht verneint:</w:t>
      </w:r>
    </w:p>
    <w:p>
      <w:r>
        <w:rPr>
          <w:b/>
        </w:rPr>
        <w:t>E. 7.1.1</w:t>
      </w:r>
    </w:p>
    <w:p>
      <w:r>
        <w:t>Aus den Akten des vorinstanzlichen Verfahrens geht hervor, dass der Beschwerdeführer Schmerzen am linken Sprunggelenk und am linken Schienbein hat wie auch an Hals-, Kopf- und Bauchschmerzen sowie an Übelkeit, Husten, trockenen Augen und an einer Schlafstörung leidet. Zudem brachte er vor, psychisch angeschlagen zu sein. Er äusserte im Falle einer Rückkehr nach Österreich Suizidgedanken, weil er befürchte, anschliessend in die Türkei abgeschoben zu werden.</w:t>
      </w:r>
    </w:p>
    <w:p>
      <w:r>
        <w:rPr>
          <w:b/>
        </w:rPr>
        <w:t>E. 7.1.2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7.1.3</w:t>
      </w:r>
    </w:p>
    <w:p>
      <w:r>
        <w:t>Vorab ist festzuhalten, dass die vom Beschwerdeführer geltend gemachten gesundheitlichen Probleme in einer adäquaten Weise medizinisch abgeklärt und behandelt wurden (vgl. vorinstanzliche Akten [...]-22/2 - 25/1 [nachfolgend act. 22 - 25]). Diese sind im Lichte der obengenannten Rechtsprechung nicht als derart schwerwiegend anzusehen, dass aus humanitären Gründen oder gar wegen einer drohenden Verletzung von Art. 3 EMRK von einer Überstellung nach Österreich abgesehen werden müsste. Betreffend die Ausführung, wonach er sich im Falle einer Rückschiebung nach Österreich etwas antun werde, ist festzuhalten, dass gemäss Rechtsprechung des Bundesverwaltungsgerichts Suizidalität für sich alleine kein Vollzugshindernis darstellt (vgl. Urteil des BVGer E-5975/2022 vom 3. Januar 2023 E. 5.5; E-685/2021 vom 23. Februar 2021 E. 7.3.3 m.w.H.). Zudem kann auch einer allfällig akzentuierten Suizidalität mit geeigneten Massnahmen der Vollzugsbehörden Rechnung getragen werden.</w:t>
      </w:r>
    </w:p>
    <w:p>
      <w:r>
        <w:rPr>
          <w:b/>
        </w:rPr>
        <w:t>E. 7.1.4</w:t>
      </w:r>
    </w:p>
    <w:p>
      <w:r>
        <w:t>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Der Beschwerdeführer machte in der Beschwerde auch nicht geltend, dass er nicht reisefähig sei oder eine Überstellung seine Gesundheit ernsthaft gefährden würde.</w:t>
      </w:r>
    </w:p>
    <w:p>
      <w:r>
        <w:rPr>
          <w:b/>
        </w:rPr>
        <w:t>E. 7.2</w:t>
      </w:r>
    </w:p>
    <w:p>
      <w:r>
        <w:t>Weitere Überstellungshindernisse machte der Beschwerdeführer nicht geltend.</w:t>
      </w:r>
    </w:p>
    <w:p>
      <w:r>
        <w:rPr>
          <w:b/>
        </w:rPr>
        <w:t>E. 7.3</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 Der Vollständigkeit halber bleibt festzuhalten, dass die Dublin-III-VO den Schutzsuchenden kein Recht einräumt,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Österreich verfügt (vgl. Art. 31a Abs. 1 Bst. b und Art. 44 AsylG). Die Beschwerde ist abzuweisen.</w:t>
      </w:r>
    </w:p>
    <w:p>
      <w:r>
        <w:rPr>
          <w:b/>
        </w:rPr>
        <w:t>E. 9.1</w:t>
      </w:r>
    </w:p>
    <w:p>
      <w:r>
        <w:t>Mit vorliegendem Urteil ist das Beschwerdeverfahren abgeschlossen. Der Antrag auf Erteilung der aufschiebenden Wirkung wird damit gegenstandslos. Der am 8. März 2024 angeordnete provisorische Vollzugsstopp fällt dahin.</w:t>
      </w:r>
    </w:p>
    <w:p>
      <w:r>
        <w:rPr>
          <w:b/>
        </w:rPr>
        <w:t>E. 9.2</w:t>
      </w:r>
    </w:p>
    <w:p>
      <w:r>
        <w:t>Bei diesem Ausgang des Verfahrens sind die Kosten von Fr. 750.- (Art. 1 3 des Reglements vom 21. Februar 2008 über die Kosten und Entschädigungen vor dem Bundesverwaltungsgericht [VGKE, SR 173.320.2]) dem Beschwerdeführer aufzuerlegen (Art. 63 Abs. 1 VwVG). Der bereits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