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E-1199/2014 vom 7. Mai 2014</w:t>
      </w:r>
    </w:p>
    <w:p>
      <w:r>
        <w:t>Bundesverwaltungsgericht, 2014-05-07, DE</w:t>
      </w:r>
    </w:p>
    <w:p>
      <w:r>
        <w:rPr>
          <w:b/>
        </w:rPr>
        <w:t xml:space="preserve">Quelle: </w:t>
      </w:r>
      <w:r>
        <w:t>https://mcp.opencaselaw.ch/entscheid/bvger_E-1199_2014</w:t>
      </w:r>
    </w:p>
    <w:p>
      <w:r>
        <w:t>FR: TAF E-1199/2014 du 7 mai 2014</w:t>
      </w:r>
    </w:p>
    <w:p>
      <w:r>
        <w:t>IT: TAF E-1199/2014 del 7 maggio 2014</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4.4</w:t>
      </w:r>
    </w:p>
    <w:p>
      <w:r>
        <w:t>Nach aArt. 52 Abs. 2 AsylG kann einer Person, die sich im Ausland befindet, das Asyl verweigert werden, wenn es ihr zugemutet werden kann, sich in einem anderen Staat um Aufnahme zu bemühen.</w:t>
      </w:r>
    </w:p>
    <w:p>
      <w:r>
        <w:rPr>
          <w:b/>
        </w:rPr>
        <w:t>E. 5.1</w:t>
      </w:r>
    </w:p>
    <w:p>
      <w:r>
        <w:t>Die Vorinstanz stellt in der angefochtenen Verfügung fest, die geltend gemachten Vorkommnisse liessen darauf schliessen, dass die Beschwerdeführerin ernstzunehmende Schwierigkeiten mit den eritreischen Behörden gehabt habe. Es sei daher zu prüfen, ob einer allfälligen Asylgewährung durch die Schweiz Art. 52 Abs. 2 AsylG entgegenstehe. Die Beschwerdeführerin mache geltend, sie habe sich aus Angst vor Polizeikontrollen und einer Deportation nicht in einem Flüchtlingslager registrieren lassen. Nach Berichten des UNHCR würden sich zahlreiche eritreische Flüchtlinge und Asylsuchende im Sudan aufhalten. Vor diesem Hintergrund sei nicht zu verkennen, dass die Lage vor Ort schwierig sei. Indes würden keine Hinweise vorliegen, wonach für die Beschwerdeführerin ein weiterer Verbleib im Sudan unzumutbar oder unmöglich wäre. Flüchtlinge, welche im Sudan vom UNHCR registriert und einem Flüchtlingslager zugeteilt würden, hätten sich dort aufzuhalten und bekämen die nötige Versorgung. Es sei der Beschwerdeführerin daher zuzumuten, beim UNHCR um Schutz zu ersuchen. Die Befürchtung, nach Eritrea zurückgeschafft zu werden, sei unbegründet. Gemäss gesicherten Erkenntnissen sei das Risiko einer Deportation oder Verschleppung für Eritreer, die im Sudan vom UNHCR als Flüchtlinge anerkannt worden seien, gering. Das UNHCR registriere vor Ort sämtliche Eritreer, die sich in einem Flüchtlingslager melden, unabhängig davon, weshalb sie das Land verlassen hätten. Die Beschwerdeführerin verfüge über kein geeignetes Risikoprofil, welches eine Verschleppung objektiv begründe. Für eritreische Flüchtlinge sei das Leben in Khartum nicht einfach. Die Beschwerdeführerin lebe in einer Wohngemeinschaft mit anderen Frauen. Die Hürden für eine zumutbare Existenz in Khartum seien in ihrem Fall demnach nicht unüberwindbar. Im Sudan lebe eine grosse eritreische Diaspora, die für in Not geratene Landsleute bereitstehe und weitgehend Unterstützung biete. Der Ehemann der Beschwerdeführer sei mit Datum vom 8. Februar 2008 vorläufig aufgenommen worden. Diesfalls werde die Familienzusammenführung nach Art. 85 Abs. 7 AuG (SR 142.20) geregelt. Ein entsprechendes Gesuch sei bei den zuständigen kantonalen Behörden einzureichen.</w:t>
      </w:r>
    </w:p>
    <w:p>
      <w:r>
        <w:rPr>
          <w:b/>
        </w:rPr>
        <w:t>E. 5.2.1</w:t>
      </w:r>
    </w:p>
    <w:p>
      <w:r>
        <w:t>Wie die Vorinstanz anerkennt auch das Gericht, dass die Beschwerdeführerin einerseits in Eritrea schwerwiegende Probleme hatte, andererseits die Lage für eritreische Flüchtlinge im Sudan nicht einfach ist. Die Beschwerdeführerin lebt seit 2011 illegal im Sudan. Entgegen ihrer in der Eingabe vertretenen Ansicht braucht sie nicht nach C._______ zu reisen, um sich als Flüchtling registrieren zu lassen. Dies kann sie in Khartum tun. In der Folge wird sie die notwendige Grundversorgung sowie ärztliche Betreuung erhalten. Weder die geltend gemachte Absicht, sie habe ursprünglich in den Sinai weiterreisen wollen, noch die behaupteten gesundheitliche Probleme stellen Gründe dar, welche einer Registrierung entgegenstehen. Die Beschwerdeführerin hält sich seit rund drei Jahren im Sudan auf. Auch wenn das Leben dort nicht einfach ist, so ist doch festzustellen, dass sie dort mit anderen Frauen in einer Wohngemeinschaft lebt und offenbar mit der gegenseitigen sowie mit fremder Unterstützung über die Runden gekommen ist. Namentlich war es ihr auch möglich, sich in Khartum ärztlich untersuchen zu lassen. Indes lassen sich den beiden ärztliche Dokumenten vom 7. April 2013 und 23. Juli 2013 keine Hinweise für die Behauptung der Beschwerdeführerin entnehmen, sie müsse alle drei Monate in ärztliche Kontrolle. Soweit dies dennoch erforderlich sein sollte, zeigen die bereits erfolgten ärztlichen Untersuchungen, dass für die Beschwerdeführerin der Zugang zur medizinischen Versorgung möglich ist. Weiter führt die Beschwerdeführerin auch keine Benachteiligungen seitens der sudanesischen Behörden im Sinne des Asylgesetzes an und bringt auch keine konkreten Anhaltspunkte für ihre Befürchtung vor, sie könnte von den sudanesischen Behörden nach Eritrea zurückgeschickt oder verschleppt werden.</w:t>
      </w:r>
    </w:p>
    <w:p>
      <w:r>
        <w:rPr>
          <w:b/>
        </w:rPr>
        <w:t>E. 5.2.2</w:t>
      </w:r>
    </w:p>
    <w:p>
      <w:r>
        <w:t>Die Beschwerdeführerin macht einen Bezug zur Schweiz geltend. Hier lebe ihr Ehemann, B._______. Dazu ist festzustellen, dass B._______ anlässlich seiner Asylgesuchseinreichung in der Schweiz im Jahre 2006 zu Protokoll gegeben hat, er habe im Heimatland eine Lebenspartnerin, mit welcher er drei Kinder habe. Eine Beziehung zur Beschwerdeführerin machte er nie geltend. Gemäss den Ausführungen der Beschwerdeführerin hat sie B._______ durch ihre Eltern kennen gelernt. Indes legt die durch eine mit dem Asylverfahren bestens vertraute Rechtsvertreterin vertretene Beschwerdeführerin in keiner der Eingaben auch nur mit einem Wort dar, wie dies beim vorliegenden Sachverhalt vonstattengegangen sein soll. Immerhin lebt die Beschwerdeführerin in Khartum (Sudan), die Eltern der Beschwerdeführerin in Eritrea und B._______ als Flüchtling in der Schweiz. Hinzu kommt, dass B._______ nicht erwerbstätig ist und von der Fürsorge lebt. Es stellt sich somit ernsthaft die Frage, wie es am 5. Mai 2012 in Khartum zu einer Hochzeit zwischen der Beschwerdeführerin und B._______ kommen konnte. Zwar hat die Beschwerdeführerin eine Heiratsurkunde eingereicht. Diese liegt allerdings nur in Kopie vor und es gilt als notorisch, dass solche Dokumente im Sudan ohne weiteres leicht käuflich erworben werden können. Bei dieser Sachlage kann somit offen bleiben, ob die Heirat stattgefunden hat. Auf jeden Fall aber besteht zwischen der Beschwerdeführerin und B._______ nicht eine Beziehung von hinreichender Qualität, welche einen genügend nahen Bezug zur Schweiz zu begründen vermag.</w:t>
      </w:r>
    </w:p>
    <w:p>
      <w:r>
        <w:rPr>
          <w:b/>
        </w:rPr>
        <w:t>E. 5.3</w:t>
      </w:r>
    </w:p>
    <w:p>
      <w:r>
        <w:t>Zusammenfassend ist festzustellen, dass der Beschwerdeführerin ein weiterer Verbleib im Sudan zumutbar und ein hinreichender Bezug zur Schweiz nicht gegeben ist. Die Vorinstanz hat demnach der Beschwerdeführerin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Mit Zwischenverfügung vom 13. März 2014 hiess der Instruktionsrichter das Gesuch um Gewährung der unentgeltlichen Prozessführung gut. Der Beschwerdeführerin sind demnach keine Verfahrenskosten aufzuerlegen.</w:t>
      </w:r>
    </w:p>
    <w:p>
      <w:r>
        <w:rPr>
          <w:b/>
        </w:rPr>
        <w:t>E. 7.2</w:t>
      </w:r>
    </w:p>
    <w:p>
      <w:r>
        <w:t>Mit derselben Zwischenverfügung hat der Instruktionsrichter das Gesuch um Gewährung der unentgeltliche Rechtsverbeiständung gutgeheissen und lic. iur. Kathrin Stutz als amtliche Rechtsbeiständin eingesetzt.</w:t>
      </w:r>
    </w:p>
    <w:p>
      <w:r>
        <w:rPr>
          <w:b/>
        </w:rPr>
        <w:t>E. 7.3</w:t>
      </w:r>
    </w:p>
    <w:p>
      <w:r>
        <w:t>Die amtliche Rechtsbeiständin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Unter Berücksichtigung der massgebenden Berechnungsfaktoren (Art. 8, 9 und 11 VGKE) ist die Parteientschädigung auf Fr. 600.- (inkl. Auslagen und Mehrwertsteuer)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