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E-1195/2007 vom 27. April 2010</w:t>
      </w:r>
    </w:p>
    <w:p>
      <w:r>
        <w:t>Bundesverwaltungsgericht, 2010-04-27, DE</w:t>
      </w:r>
    </w:p>
    <w:p>
      <w:r>
        <w:rPr>
          <w:b/>
        </w:rPr>
        <w:t xml:space="preserve">Quelle: </w:t>
      </w:r>
      <w:r>
        <w:t>https://mcp.opencaselaw.ch/entscheid/bvger_E-1195_2007</w:t>
      </w:r>
    </w:p>
    <w:p>
      <w:r>
        <w:t>FR: TAF E-1195/2007 du 27 avril 2010</w:t>
      </w:r>
    </w:p>
    <w:p>
      <w:r>
        <w:t>IT: TAF E-1195/2007 del 27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105 AsylG i.V.m. Art. 37 VGG und Art. 48 Abs. 1, Art. 50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die Asylgesuche ab, da die Vorbringen der Beschwerdeführenden den Anforderungen an die Flüchtlingseigenschaft gemäss Art. 3 AsylG nicht standhielten. Zur Begründung führte es aus, bei den geltend gemachten Problemen (in Kroatien) betreffend den Sohn D._______ handle es sich um Diskriminierungen, die von Privatpersonen ausgehen würden. Die staatlichen Institutionen, vorliegend die Schulbehörden und das Sozialamt, hätten dieses Verhalten nicht gebilligt. Vielmehr hätten sie versucht, die Familie zu unterstütztn und hätten Stellung für sie bezogen. Der Staat habe demnach die Familie in angemessener Form geschützt. Deshalb handle es sich in casu nicht um eine staatliche oder vom Staat tolerierte Verfolgung. Sodann stelle die Einberufung in den Militärdienst keine Verfolgungsmassnahme im Sinne von Art. 3 Abs. 1 AsylG dar. Desgleichen gelte hinsichtlich einer allfälligen Bestrafung wegen Missachtung eines militärischen Aufgebots, welche rein militärstrafrechtlichen Charakter aufweise. Deshalb seien solche Bestrafungen asylrechtlich nicht relevant. Folglich sei auch die Befürchtung, wegen Militärdienstverweigerung bestraft zu werden, nicht asylrelevant. Ausserdem habe das jugoslawische Parlament am 26. Februar 2001 ein Amnestiegesetz verabschiedet, das am 3. März 2001 in Kraft getreten sei. Unter die Amnestie würden unter anderem die Straftatbestände der Refraktion, Desertion und Befehlsverweigerung, die bis zum 7. Oktober 2000 begangen worden seien, fallen. Eingeleitete Untersuchungen und Prozesse seien eingestellt worden, und bereits inhaftierten Personen sei die Verbüssung der Reststrafe erlassen worden. Von der Amnestie betroffen seien 23'000 Verfahren. Demnach falle die vom Beschwerdeführer geltend gemachte Refraktion unter die Amnestie. Schliesslich seien die sozialen Schwierigkeiten in Kroatien auf die allgemeine politische, wirtschaftliche und soziale Situation im Land zurückzuführen.</w:t>
      </w:r>
    </w:p>
    <w:p>
      <w:r>
        <w:rPr>
          <w:b/>
        </w:rPr>
        <w:t>E. 4.2</w:t>
      </w:r>
    </w:p>
    <w:p>
      <w:r>
        <w:t>In der Rechtsmitteleingabe wird ausgeführt, die Geschehnisse im Zusammenhang mit dem Sohn der Beschwerdeführenden würden aufzeigen, dass ein Leben in Kroatien nicht möglich sei. Sodann gehöre der Beschwerdeführer als serbischer (recte: Staatsangehöriger von Montenegro) in Bosnien und Herzegowina einer Minderheit an, was fatale Auswirkungen haben könnte. In Montenegro wiederum würden die Beschwerdeführerin und der Sohn einer Minderheit angehören. Überdies seien die Beschwerdeführenden ethnische Roma.</w:t>
      </w:r>
    </w:p>
    <w:p>
      <w:r>
        <w:rPr>
          <w:b/>
        </w:rPr>
        <w:t>E. 4.3</w:t>
      </w:r>
    </w:p>
    <w:p>
      <w:r>
        <w:t>In der Rechtsmitteleingabe werden die komplizierte Situation der Beschwerdeführenden aufgrund ihrer unterschiedlichen Staatsangehörigkeit sowie ihrer ethnischen Zugehörigkeit und die daraus resultierenden Schwierigkeiten dargelegt. Indes stellen auch eine sehr schwierige Lebenssituation und insoweit humanitäre Überlegungen keinen Grund für die Anerkennung als Flüchtling dar. Insoweit vermögen die Beschwerdeführenden mit ihren - im Übrigen bereits aktenkundigen - Ausführungen in der Beschwerdeschrift nicht substanziiert darzutun, inwiefern das BFM sie zu Unrecht nicht als Flüchtlinge anerkannt hat. Um Wiederholungen zu vermeiden, kann vorliegend vollumfänglich auf die zutreffenden Erwägungen in der angefochtenen Verfügung verwiesen werden.</w:t>
      </w:r>
    </w:p>
    <w:p>
      <w:r>
        <w:rPr>
          <w:b/>
        </w:rPr>
        <w:t>E. 4.4</w:t>
      </w:r>
    </w:p>
    <w:p>
      <w:r>
        <w:t>Den Beschwerdeführenden ist es somit nicht gelungen, Gründe nach Art. 3 AsylG glaubhaft zu machen oder nachzuweisen. Die Vorinstanz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Gegen eine allfällige Aufhebung der vorläufigen Aufnahme durch die Vorinstanz steht den (ab- und weggewiesenen) Asylsuchenden wiederum die Beschwerde an das Bundesverwaltungsgericht offen (vgl. Art. 105 Abs. 1 AsylG i.V.m. Art. 44 Abs. 2 AsylG), wobei in jenem Verfahren sämtliche drei Vollzugshindernisse von Amtes wegen nach Massgabe der dannzumal herrschenden Verhältnisse (vgl. die weiterhin zutreffende Praxis der ARK in EMARK 1997 Nr. 27 S. 205 ff.) von neuem zu prüfen sind.</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 367 f.).</w:t>
      </w:r>
    </w:p>
    <w:p>
      <w:r>
        <w:rPr>
          <w:b/>
        </w:rPr>
        <w:t>E. 6.4.1</w:t>
      </w:r>
    </w:p>
    <w:p>
      <w:r>
        <w:t>Aufgrund der Akten ergibt sich, dass D._______, der Sohn der Beschwerdeführenden, im Jahre 1997 in Deutschland geboren wurde. Im Kindergarten wurden bei ihm motorische Probleme festgestellt, weshalb er eine Ergotherapie, eine Gymnastiktherapie und eine psychologische Spieltherapie erhielt. Nach zwei Jahren Kindergarten wurde er eingeschult, indes wieder in den Kindergarten zurückversetzt, was den Jungen stark verunsicherte (vgl. A15, Ergotherapeutischer Befund vom 17. Februar 2004). Im Frühling 2004 kehrten die Beschwerdeführenden nach Kroatien zurück, wo D._______ in die erste Klasse eingeschult wurde. Gemäss den übereinstimmenden und überzeugenden Aussagen der Beschwerdeführenden (vgl. A17, S. 11 ff., A18, S. 10 ff.) wurde der Knabe dort von seinen Mitschülern aufgrund seiner ethnischen Zugehörigkeit zu den Roma schikaniert und geschlagen, so dass es ihm nicht möglich war, sich zu integrieren. Da die Situation für die Familie zunehmend belastender wurde, suchten sie zunächst mit den Lehrkräften und dem Direktor der Schule das Gespräch. Auf Anraten des Direktor wandten sie sich an das Sozialamt, welches sie an eine Klinik für F._______ weiterverwiesen. Dort riet man ihnen, sich an die Öffentlichkeit zu wenden, was die Familie denn auch mit Hilfe eines Journalisten tat. Nach der Publikation des Artikels erhielten die Beschwerdeführenden von verschiedensten Seiten teilweise massive Drohungen, so dass sie sich zur Ausreise entschlossen (vgl. Sachverhalt S. 3). Im Dezember 2005 reisten sie in der Schweiz ein und suchten um Asyl nach. Anfang 2006 wurde D._______ in L._______ in die 2. Primarklasse eingeschult. Nach wenigen Monaten musste die Familie nach K._______ übersiedeln, was für den damals neunjährigen Knaben einen Klassenwechsel zur Folge hatte. In der neuen Klasse gelang es dem Jungen nicht, sich einzugliedern. Er wurde von seinen Mitschülern ausgegrenzt, was dazu führte, dass er einerseits ängstlicher, andererseits aggressiv wurde. Trotz einer eingeleiteten Psychotherapie kam es im Sommer 2006 zur Eskalation. Während den nachfolgenden Wochen erhielt D._______ Einzelunterricht. Nach Abklärungen beim Schulpsychologischen Dienst K._______ wurde er für die 3. Klasse in eine Regelklasse mit wenig Schülern eingeteilt. In dieser Klasse gelang es dem Jungen, sich zu integrieren und erstmals ein gutes Schuljahr zu erleben. (vgl. Bericht von Dr. med. I._______ und lic. phil. J._______ vom 15. April 2009). Für die Mittelschule wurde D._______ in eine Kleinklasse eingeteilt. Aufgrund verschiedener Probleme, insbesondere wegen respektlosen und agressiven Verhaltens gegen Lehrer und Mitschüler, wurde D._______ im Januar 2010 für rund einen Monat in eine andere Klasse versetzt. In dieser Klasse wird er die Mittelstufe abschliessen, und nach den Sommerferien 2010 soll er die Sek C mit Integrativer Förderung besuchen (vgl. Bericht der Schulleiterin).</w:t>
      </w:r>
    </w:p>
    <w:p>
      <w:r>
        <w:rPr>
          <w:b/>
        </w:rPr>
        <w:t>E. 6.5</w:t>
      </w:r>
    </w:p>
    <w:p>
      <w:r>
        <w:t>In ihrem Bericht stellen Dr. med. I._______ und lic. phil. J._______ fest, D._______ weise (knapp) altersentsprechende sprachliche Fähigkeiten im mündlichen Bereich sowie im Lesen auf. Eine deutliche Schwäche zeige er im Schreiben. Weiter stellen die Fachkräfte fest, D._______ zeige eine knapp altersentsprechende kognitive Entwicklung mit einer auditiven Merkfähigkeitsschwäche. Weiter wird zum sozio-emotinalen Verhalten ausgeführt, D._______ sei sehr höflich sowie charmat. Anlässlich der Abklärungen habe er gut mitgemacht und zu einer angenehmen Stimmung bei den Sitzungen beigetragen. Sehr ausgeprägt sei seine permanent zum Vorschein kommende Ängstlichkeit und sein vermindertes Selbstwertgefühl beziehungsweise Selbstvertrauen. Zur aktuellen Schulsituation hält die Schulleiterin in ihrem Bericht fest, dass sich D._______ Mühe gebe und anständig sei, aber auch intensiver Betreuung bedürfe.</w:t>
      </w:r>
    </w:p>
    <w:p>
      <w:r>
        <w:rPr>
          <w:b/>
        </w:rPr>
        <w:t>E. 6.6</w:t>
      </w:r>
    </w:p>
    <w:p>
      <w:r>
        <w:t>Aufgrund der vorstehenden Ausführungen ergibt sich, dass D._______ bisher keine einfache Kindheit verbrachte. Sie war geprägt von zwei einschneidenen Wohnortwechseln, verbunden mit einschneidenen Kulturwechseln. Hinzu kommt eine nicht einfache Schulzeit, welche von verschiedenen Klassenwechseln und einer Vielzahl von negativen Erlebnissen - Rückversetzung, Ausgrenzungen sowohl in Kroatien als auch in der Schweiz bis zu Misshandlungen (in Kroatien) - begleitet war. Dies alles hat D._______ in seinen Lebenserfahrunung und seinem Wesen geprägt und zeigt sich heute etwa in seinem verminderten Selbstvertrauen. Seit der Einschulung in der Schweiz anfangs 2007 haben sich die Lehrkräfte sowie die zuständigen Personen darum bemüht, sich den Schwächen und Problemen des Knaben anzunehmen. Namentlich war man in den vergangenen viereinhalb Jahren bestrebt, dem Jungen ein schulisches Umfeld zu schaffen, das ihm eine Integration im Klassenverband sowie eine gute Schulbildung ermöglichen sollte. Dies gelang zwischenzeitlich teilweise und hatte jeweils entsprechend positiven Einfluss auf die schulische wie persönliche Entwicklung von D._______. Entsprechend gab und gibt sich D._______ im Rahmen seines Möglichen und mit fachlicher Unterstützung Mühe.</w:t>
      </w:r>
    </w:p>
    <w:p>
      <w:r>
        <w:rPr>
          <w:b/>
        </w:rPr>
        <w:t>E. 6.7</w:t>
      </w:r>
    </w:p>
    <w:p>
      <w:r>
        <w:t>Der Vollzug der Wegweisung der Beschwerdeführenden in eines ihrer Heimatländer würde für den heute 13-jährigen D._______ einen erneuten Wechsel seines sozialen und persönlichen Umfeldes zur Folge haben. Ein solcher Wechsel wäre für den Knaben aufgrund des bisher Erlebten psychisch sehr schwer zu verarbeiten. Er käme einer weitgehenden Entwurzelung aus dem in den letzten viereinhalb Jahren aufgebauten Umfeld gleich, was zu einer schweren Belastung in seiner weiteren Entwicklung führen würde. Dies wäre indes mit dem Schutzanliegen des Kindeswohls nicht vereinbar. In Anbetracht der gesamtheitlich zu beurteilenden Sachlage gelangt das Bundesverwaltungsgericht daher zum Schluss, dass ein Vollzug der Wegweisung von D._______ nicht zumutbar im Sinne von Art. 83 Abs. 4 AuG ist. D._______ ist demnach zufolge Unzumutbarkeit des Wegweisungsvollzuges in der Schweiz vorläufig aufzunehmen.</w:t>
      </w:r>
    </w:p>
    <w:p>
      <w:r>
        <w:rPr>
          <w:b/>
        </w:rPr>
        <w:t>E. 6.8</w:t>
      </w:r>
    </w:p>
    <w:p>
      <w:r>
        <w:t>Gemäss Art. 44 Abs. 1 AsylG ist beim Vollzug der Wegweisung der Grundsatz der Einheit der Familie zu berücksichtigen. Unter Berücksichtigung dieses Grundsatzes sind deshalb die Beschwerdeführenden - als die Eltern von D._______ - ebenfalls in der Schweiz vorläufig aufzunehmen, zumal sich aus den Akten keine Hinweise auf das Vorliegen von Ausschlussgründen im Sinne von Art. 83 Abs. 7 AuG ergeben.</w:t>
      </w:r>
    </w:p>
    <w:p>
      <w:r>
        <w:rPr>
          <w:b/>
        </w:rPr>
        <w:t>E. 6.9</w:t>
      </w:r>
    </w:p>
    <w:p>
      <w:r>
        <w:t>In Anbetracht der vorliegenden Sachlage erübrigt es sich, auf die weiteren Ausführungen in der Rechtsmitteleingabe zur Zumutbarkeit des Wegweisungsvollzugs einzugehen, da sie am festgestellten Ergebnis nichts zu ändern vermögen.</w:t>
      </w:r>
    </w:p>
    <w:p>
      <w:r>
        <w:rPr>
          <w:b/>
        </w:rPr>
        <w:t>E. 7</w:t>
      </w:r>
    </w:p>
    <w:p>
      <w:r>
        <w:t>Zusammenfassend ist festzustellen, dass das BFM zu Recht festgestellt hat, die Beschwerdeführenden erfüllten die Flüchtlingseigenschaft nicht, die Asylgesuche abgelehnt und die Wegweisung verfügt hat. Demgegenüber erweist sich der Vollzug der Wegweisung als unzumutbar. Die Verfügung des BFM vom 15. Januar 2007 ist daher betreffend die Ziffern 4 und 5 aufzuheben, und die Vorinstanz ist anzuweisen, D._______ und die Beschwerdeführenden vorläufig aufzunehmen.</w:t>
      </w:r>
    </w:p>
    <w:p>
      <w:r>
        <w:rPr>
          <w:b/>
        </w:rPr>
        <w:t>E. 8.1</w:t>
      </w:r>
    </w:p>
    <w:p>
      <w:r>
        <w:t>Bei diesem Ausgang des Verfahrens ist von einem hälftigen Obsiegen der Beschwerdeführenden auszugehen. Mit Zwischenverfügung vom 19. Februar 2007 hiess die damals zuständige Instruktionsrichterin das Gesuch um Gewährung der unentgeltlichen Rechtspflege gut, weshalb den Beschwerdeführenden keine Verfahrenskosten aufzuerlegen sind.</w:t>
      </w:r>
    </w:p>
    <w:p>
      <w:r>
        <w:rPr>
          <w:b/>
        </w:rPr>
        <w:t>E. 8.2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der Beschwerdeführenden hat keine Kostennote zu den Akten gereicht. Auf die Nachforderung einer solchen kann jedoch verzichtet werden, da sich die Vertretungskosten aufgrund der Akten abschätzen lassen (Art. 14 Abs. 2 VGKE). In Anwendung von Art. 8 und 9 VGKE und unter Berücksichtigung eines Stundenansatzes von Fr. 150.- (Art. 10 Abs. 2 VGKE) ist die Parteientschädigung auf Fr. 900.- (inkl. Auslagen und MWSt) festzusetzen und ausgehend von einem hälftigen Obsiegen auf Fr. 450.- zu reduzieren. Das BFM ist anzuweisen, diesen Betrag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