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E-1193/2008 vom 27. Mai 2011</w:t>
      </w:r>
    </w:p>
    <w:p>
      <w:r>
        <w:t>Bundesverwaltungsgericht, 2011-05-27, DE</w:t>
      </w:r>
    </w:p>
    <w:p>
      <w:r>
        <w:rPr>
          <w:b/>
        </w:rPr>
        <w:t xml:space="preserve">Quelle: </w:t>
      </w:r>
      <w:r>
        <w:t>https://mcp.opencaselaw.ch/entscheid/bvger_E-1193_2008</w:t>
      </w:r>
    </w:p>
    <w:p>
      <w:r>
        <w:t>FR: TAF E-1193/2008 du 27 mai 2011</w:t>
      </w:r>
    </w:p>
    <w:p>
      <w:r>
        <w:t>IT: TAF E-1193/2008 del 27 maggio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Die Beschwerdeführenden sind daher zur Einreichung der Beschwerde legitimiert (Art. 105 AsylG i.V.m. Art. 37 VGG, Art. 48 Abs. 1 und Art. 50 VwVG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ARK [EMARK] 2003 Nr. 17 E. 2a S. 103 f., mit weiteren Hinweisen).</w:t>
      </w:r>
    </w:p>
    <w:p>
      <w:r>
        <w:rPr>
          <w:b/>
        </w:rPr>
        <w:t>E. 4</w:t>
      </w:r>
    </w:p>
    <w:p>
      <w:r>
        <w:t>Wie unter Bst. G. des Sachverhalts erläutert, schrieb das Bundesverwaltungsgericht das Beschwerdeverfahren in Bezug auf D. R. mangels Rechtschutzinteresses als gegenstandslos geworden ab, nachdem dieser unbekannten Aufenthalts gemeldet worden war und der Rechtsvertreter auch keinen Kontakt mehr mit ihm aufnehmen konnte. In Berücksichtigung der Anträge in der Beschwerde vom 21. März 2005 ist vorliegend zu beurteilen, ob das BFM das Wiedererwägungsgesuch der Beschwerdeführenden vom 8. Februar 2005 betreffend den Vollzug der Wegweisung zu Recht abgewiesen und die Verfügung vom 13. Juni 2003 als rechtskräftig sowie vollstreckbar erklärt beziehungsweise den Vollzug der Wegweisung zu Recht als zulässig, zumutbar und möglich erachtet hat oder ob aufgrund einer wesentlich veränderten Sachlage allenfalls die vorläufige Aufnahme anzuordnen wäre. Die Fragen der Flüchtlingseigenschaft und des Asyls bilden demgegenüber nicht Gegenstand des vorliegenden Verfahrens.</w:t>
      </w:r>
    </w:p>
    <w:p>
      <w:r>
        <w:rPr>
          <w:b/>
        </w:rPr>
        <w:t>E. 5.1</w:t>
      </w:r>
    </w:p>
    <w:p>
      <w:r>
        <w:t>Ist der Vollzug der Wegweisung nicht zulässig, nicht zumutbar oder nicht möglich, so regelt die Vorinstanz gemäss Art. 44 Abs. 2 AsylG das Anwesenheitsverhältnis nach den gesetzlichen Bestimmungen über die vorläufige Aufnahme von Ausländern.</w:t>
      </w:r>
    </w:p>
    <w:p>
      <w:r>
        <w:rPr>
          <w:b/>
        </w:rPr>
        <w:t>E. 5.2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einen Drittstaat entgegenstehen. Der Vollzug kann für Ausländerinnen oder Ausländer unzumutbar sein, wenn sie in Situationen wie Krieg, Bürgerkrieg, allgemeiner Gewalt und medizinischer Notlage im Heimat- oder Herkunftsstaat konkret gefährdet sind (Art. 83 Abs. 2, 3 und 4 des Bundesgesetzes vom 16. Dezember 2005 über die Ausländerinnen und Ausländer [AuG, SR 142.20]).</w:t>
      </w:r>
    </w:p>
    <w:p>
      <w:r>
        <w:rPr>
          <w:b/>
        </w:rPr>
        <w:t>E. 5.3</w:t>
      </w:r>
    </w:p>
    <w:p>
      <w:r>
        <w:t>Gemäss Rechtsprechung der ARK, welcher sich das Bundesverwaltungsgericht anschliesst, sind die Bedingungen für einen Verzicht auf den Vollzug der Wegweisung (Unzulässigkeit, Unzumutbarkeit, Unmöglichkeit)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5.4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 Bei der Prüfung der Voraussetzungen von Art. 83 Abs. 4 AuG sind humanitäre Überlegungen im Einzelfall abzuwägen gegen andere öffentliche Interessen, die allenfalls für einen Vollzug sprechen würden. Entsprechend kommt den Asylbehörden im Rahmen der Anwendung von Art. 83 Abs. 4 AuG ein Ermessensspielraum zu (vgl. EMARK 2001 Nr. 16 E. 6b S. 123, mit weiteren Hinweisen).</w:t>
      </w:r>
    </w:p>
    <w:p>
      <w:r>
        <w:rPr>
          <w:b/>
        </w:rPr>
        <w:t>E. 5.5.1</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EMARK 2005 Nr. 6 E. 6 S. 55 ff., EMARK 1998 Nr. 31 E. 8c.ff.ccc S. 260 f., EMARK 1998 Nr. 13 E. 5e.aa S. 98 f.).</w:t>
      </w:r>
    </w:p>
    <w:p>
      <w:r>
        <w:rPr>
          <w:b/>
        </w:rPr>
        <w:t>E. 5.5.2</w:t>
      </w:r>
    </w:p>
    <w:p>
      <w:r>
        <w:t>Die Beschwerdeführerin und ihr Lebenspartner hielten sich bis zu ihrer Ausreise aus G._______ am 10. Oktober 2002 während (...) Jahren in Italien auf, wo ihre gemeinsamen Kinder B._______, C._______ und D._______ geboren wurden. Nach diesen Geburten erhielten sie - eigenen Aussagen gemäss - von den italienischen Behörden jeweils eine befristete Aufenthaltsbewilligung. Die letzte für vier bis fünf Monate. Vor diesem Hintergrund entschlossen sie sich, Italien zu verlassen, und gelangten über Frankreich am 11. Oktober 2002 in die Schweiz, wo sie am 14. Oktober 2002 um Asyl nachsuchten. Demnach hält sich die Familie seit (...) Jahren im Ausland und davon seit bald neun Jahren in der Schweiz auf. Im Zeitpunkt der Einreise in die Schweiz war B._______ knapp (...) Jahre, C._______ (...) Jahre und D._______ (...) Monat alt. Heute sind B._______ gut (...), C._______ (...) und D._______ bald (...) Jahre alt.</w:t>
      </w:r>
    </w:p>
    <w:p>
      <w:r>
        <w:rPr>
          <w:b/>
        </w:rPr>
        <w:t>E. 5.5.3</w:t>
      </w:r>
    </w:p>
    <w:p>
      <w:r>
        <w:t>Aufgrund des Alters der Kinder im Zeitpunkt der Einreise in die Schweiz ergibt sich, dass sie nahezu ihr ganzes Leben in der Schweiz verbracht haben. Es ist davon auszugehen, dass sie nach der Einschulung in der Schweiz den Schweizer Dialekt und Hochdeutsch erlernt und sich zusehends an die schweizerische Lebensweise assimiliert haben und durch den Besuch der Schule in erheblichem Mass durch das hiesige kulturelle und soziale Umfeld geprägt wurden. Es ist auch anzunehmen, dass sie in den vergangenen Jahren eigene persönliche Beziehungsnetze aufgebaut haben. Demgegenüber werden sie kaum über die - namentlich schriftlichen - Kenntnisse der polnischen Sprache verfügen, welche für eine erfolgreiche Eingliederung ins Schulsystem in Polen vorauszusetzen wäre. Da alle drei Kinder in Italien geboren wurden und als Klein(st)kinder in die Schweiz gekommen sind, muss angenommen werden, dass sie weder enge Kontakte zu ihren Familienangehörigen noch zu anderen gleichaltrigen Jugendlichen in Polen haben. Angesichts dessen sowie der kulturellen Differenzen zwischen der Schweiz und Polen wäre ihre Reintegration in Polen in Frage gestellt. Bei dieser Sachlage besteht für die Kinder somit die konkrete Gefahr, dass die mit einem Vollzug der Wegweisung verbundene Entwurzelung aus dem gewachsenen sozialen Umfeld in der Schweiz einerseits und die sich gleichzeitig abzeichnende Problematik einer Reintegration in die ihr weitgehend fremde Kultur und Umgebung in Polen andererseits zu starken Belastungen in ihrer weiteren Entwicklung führen würden, die mit dem Schutzanliegen des Kindeswohls nicht zu vereinbaren wären.</w:t>
      </w:r>
    </w:p>
    <w:p>
      <w:r>
        <w:rPr>
          <w:b/>
        </w:rPr>
        <w:t>E. 6.1</w:t>
      </w:r>
    </w:p>
    <w:p>
      <w:r>
        <w:t>Erschwerend kommt hinzu, dass gemäss einem ärztlichen Zeugnis des Spitals E._______, vom 17. Dezember 2007 die Beschwerdeführerin an einer HIV-Infektion im CDC-Stadium A2 mit einem CD4-Wert von 433 Zellen/µl sowie einer schweren (...) (...) mit Zeichen eines (...) leidet. Aktuelle Arztzeugnisse wurden trotz entsprechender Aufforderung bis heute nicht beigebracht.</w:t>
      </w:r>
    </w:p>
    <w:p>
      <w:r>
        <w:rPr>
          <w:b/>
        </w:rPr>
        <w:t>E. 6.2.1</w:t>
      </w:r>
    </w:p>
    <w:p>
      <w:r>
        <w:t>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300 und 499 "Helferzellen" pro Mikroliter Blut) und 3 (weniger als 300 "Helferzellen" pro Mikroliter Blut unterteilt (vgl. BVGE 2009/2 E. 9.1.4).</w:t>
      </w:r>
    </w:p>
    <w:p>
      <w:r>
        <w:rPr>
          <w:b/>
        </w:rPr>
        <w:t>E. 6.2.2</w:t>
      </w:r>
    </w:p>
    <w:p>
      <w:r>
        <w:t>Gemäss telefonischer Auskunft der Sozialbehörde F._______ vom 8. April 2011 sei die Beschwerdeführerin seit längerer Zeit in Spitalpflege und in einem schlechten Allgemeinzustand, weshalb es ihr nicht möglich gewesen sei, ein aktuelles und detailliertes Arztzeugnis einzureichen. Aufgrund dieser Informationen muss davon ausgegangen werden, ihr Gesundheitszustand habe sich nicht - wenn überhaupt - verbessert. Ferner ist zu berücksichtigen, dass HIV-Infizierte in Polen ihre medizinische Versorgung in speziellen Aids-Zentren erhalten, von denen es dort nur gerade elf gebe (vgl. statt Vieler www.ondamaris.de/Leben mit HIV in Polen, abgerufen am 13. Mai 2011). Dies hat zur Folge, dass viele HIV-Positive, bei jeder Behandlung und jedem Medikamentenbedarf eine weite Anreise von zum Teil mehr als über 150 Kilometer in Kauf nehmen müssen. Vor diesem Hintergrund und in Anbetracht, dass gemäss dem eingereichten ärztlichen Bericht regelmässige klinische und immunologische Kontrollen der Beschwerdeführerin indiziert sind, sie seit dem Verschwinden ihres Lebenspartners alleinerziehende Mutter von drei minderjährigen Kindern ist und angenommen werden muss, dass sie aufgrund ihrer langen Abwesenheit in Polen (... Jahre) auf kein tragfähiges verwandtschaftliches Beziehungsnetz mehr zurückgreifen kann sowie angesichts ihrer familiären Aufgaben, wird es ihr kaum möglich sein, wieder eine Stelle in ihren erlernten Berufen als (...) respektive (...) (vgl. Akten BFM A2/11 S. 2) zu finden. Damit kann nicht davon ausgegangen werden, dass sie eine existenzsichernde Grundlage für sich und ihre Kinder in Polen aufzubauen vermag.</w:t>
      </w:r>
    </w:p>
    <w:p>
      <w:r>
        <w:rPr>
          <w:b/>
        </w:rPr>
        <w:t>E. 6.3</w:t>
      </w:r>
    </w:p>
    <w:p>
      <w:r>
        <w:t>In Würdigung sämtlicher Sachverhaltselemente gelangt das Bundesverwaltungsgericht zum Schluss, dass von einer seit Abschluss des ordentlichen Asylverfahrens wesentlich veränderten Sachlage im Sinne der unter E. 3 aufgeführten Kriterien auszugehen und der Vollzug der Wegweisung der Beschwerdeführenden im heutigen Zeitpunkt als unzumutbar im Sinne von Art. 83 Abs. 4 AuG zu qualifizieren ist. Nachdem sich aus den Akten keine Hinweise auf das Vorliegen von Ausschlussgründen gemäss Art. 83 Abs. 7 AuG ergeben, sind die Voraussetzungen für die Anordnung der vorläufigen Aufnahme erfüllt.</w:t>
      </w:r>
    </w:p>
    <w:p>
      <w:r>
        <w:rPr>
          <w:b/>
        </w:rPr>
        <w:t>E. 7.1</w:t>
      </w:r>
    </w:p>
    <w:p>
      <w:r>
        <w:t>Aus diesen Erwägungen ergibt sich, dass die Beschwerde gutzuheissen ist. Die angefochtene Verfügung des BFM vom 18. Februar 2005 ist nach dem Gesagten aufzuheben. Das BFM ist sodann anzuweisen, in teilweiser Wiedererwägung seiner Verfügung vom 13. Juni 2003 die Beschwerdeführerin sowie ihre drei Kinder in der Schweiz vorläufig aufzunehmen (Art. 44 Abs. 2 AsylG i.V.m. Art. 83 Abs. 1 und Abs.4 AuG).</w:t>
      </w:r>
    </w:p>
    <w:p>
      <w:r>
        <w:rPr>
          <w:b/>
        </w:rPr>
        <w:t>E. 7.2</w:t>
      </w:r>
    </w:p>
    <w:p>
      <w:r>
        <w:t>Bei diesem Ausgang des Verfahrens sind keine Verfahrenskosten aufzuerlegen (vgl. Art. 63 Abs. 1 VwVG).</w:t>
      </w:r>
    </w:p>
    <w:p>
      <w:r>
        <w:rPr>
          <w:b/>
        </w:rPr>
        <w:t>E. 7.3</w:t>
      </w:r>
    </w:p>
    <w:p>
      <w:r>
        <w:t>Den Beschwerdeführerenden ist - als volllständig obsiegender Partei - für die ihnen im Beschwerdeverfahren erwachsenen notwendigen Kosten eine Parteientschädigung zuzusprechen (Art. 64 Abs. 1 VwVG, Art. 16 Abs. 1 VGG i.V.m. Art. 7 Abs. 1 des Reglements vom 21. Februar 2008 über die Kosten und Entschädigungen vor dem Bundesverwaltungsgericht [VGKE, SR 173.320.2]). Im vorliegenden Verfahren wurden die Beschwerdeführenden bis zur Anzeige der Mandatsniederlegung bezüglich der Beschwerdeführenden vom 21. Februar 2008 während des gesamten Beschwerdeverfahrens anwaltlich vertreten, weshalb es sich rechtfertigt ihnen für den Vertretungsaufwand eine Parteientschädigung zu entrichten. Seitens der Rechtsvertretung wurde keine Kostennote eingereicht. Auf die Nachforderung einer solchen wird indessen verzichtet (vgl. Art. 14 Abs. 2 VGKE), da sich der Parteiaufwand zuverlässig abschätzen lässt. Gestützt auf die in Betracht zu ziehenden Bemessungsfaktoren (Art. 9-13 VGKE) wird die Parteientschädigung aufgrund der Akten auf pauschal Fr. 600.- (inkl. Auslagen und Mehrwertsteuer) festgesetzt. Das BFM ist anzuweisen, den Beschwerdeführenden diesen Betrag als Parteientschädigung auszurichten (Art. 10 Abs. 2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