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E-1188/2015 vom 19. März 2015</w:t>
      </w:r>
    </w:p>
    <w:p>
      <w:r>
        <w:t>Bundesverwaltungsgericht, 2015-03-19, DE</w:t>
      </w:r>
    </w:p>
    <w:p>
      <w:r>
        <w:rPr>
          <w:b/>
        </w:rPr>
        <w:t xml:space="preserve">Quelle: </w:t>
      </w:r>
      <w:r>
        <w:t>https://mcp.opencaselaw.ch/entscheid/bvger_E-1188_2015</w:t>
      </w:r>
    </w:p>
    <w:p>
      <w:r>
        <w:t>FR: TAF E-1188/2015 du 19 mars 2015</w:t>
      </w:r>
    </w:p>
    <w:p>
      <w:r>
        <w:t>IT: TAF E-1188/2015 del 19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des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frist- und - bis auf den sprachlichen Aspekt (vgl. E. 1.3) - formgerecht eingereicht. Die Rechtsmitteleingabe ist zwar nur vom Beschwerdeführer 1 unterzeichnet, jedoch ist davon auszugehen, dass die Beschwerdeerhebung auch vom Willen des Beschwerdeführers 2 getragen wird.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genügend klare, sinngemässe Rechtsbegehren und deren Begründung zu entnehmen sind und ohne Weiteres darüber befunden werden kann.</w:t>
      </w:r>
    </w:p>
    <w:p>
      <w:r>
        <w:rPr>
          <w:b/>
        </w:rPr>
        <w:t>E. 1.4</w:t>
      </w:r>
    </w:p>
    <w:p>
      <w:r>
        <w:t>Das Verfahren richtet sich nach dem VwVG, soweit das VGG und das AsylG nichts anderes bestimmen (Art. 37 VGG und Art. 6 AsylG).</w:t>
      </w:r>
    </w:p>
    <w:p>
      <w:r>
        <w:rPr>
          <w:b/>
        </w:rPr>
        <w:t>E. 1.5</w:t>
      </w:r>
    </w:p>
    <w:p>
      <w:r>
        <w:t>Die Beschwerde erweist sich - wie nachfolgend aufgezeigt - als offensichtlich unbegründet, weshalb über die Beschwerde in einzelrichterlicher Zuständigkeit mit Zustimmung eines zweiten Richters oder einer zweiten Richterin zu entscheiden ist (Art. 111 Bst. e AsylG). 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 12, 19, 20, 41 Abs. 2, 52 und 68 AsylG sowie Art. 10 der Asylverordnung 1 vom 11. August 1999 über Verfahrensfragen (AsylV 1, SR 142.311)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AsylV 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f.).</w:t>
      </w:r>
    </w:p>
    <w:p>
      <w:r>
        <w:rPr>
          <w:b/>
        </w:rPr>
        <w:t>E. 4.3</w:t>
      </w:r>
    </w:p>
    <w:p>
      <w:r>
        <w:t>Vorliegend sah sich die Botschaft in Khartum nicht in der Lage, eine persönliche Befragung der Beschwerdeführenden durchzuführen. Das BFM begründete diesen Verzicht mit dem begrenzten Personalbestand der Botschaft sowie den fehlenden Voraussetzungen im sicherheitstechnischen und räumlichen Bereich. Das Bundesamt ersuchte die Beschwerdeführenden deshalb um Einreichung einer ergänzenden Stellungnahme zwecks Vervollständigung des rechtserheblichen Sachverhaltes. Die Beschwerdeführenden nahmen in der Folge zu den gestellten Fragen Stellung und machten persönliche, auf sie konkret bezogene Angaben. Vorliegend erhielten sie somit rechtsgenügend Gelegenheit, ihre Asylgründe darzulegen und bei der Erhebung und Ergänzung des massgebenden Sachverhalts mitzuwirken. Die Botschaft verzichtete darauf, in einem ergänzenden Bericht ihre Beurteilung des Asylgesuchs darzulegen, und überwies die Unterlagen dem BFM ohne Kommentar.</w:t>
      </w:r>
    </w:p>
    <w:p>
      <w:r>
        <w:rPr>
          <w:b/>
        </w:rPr>
        <w:t>E. 5</w:t>
      </w:r>
    </w:p>
    <w:p>
      <w:r>
        <w:t>Das BFM beziehungsweise SEM kann ein im Ausland gestelltes Asylgesuch ablehnen, wenn die asylsuchende Person keine Verfolgung glaubhaft machen kann oder ihr die Aufnahme in einem Drittstaat zugemutet werden kann (vgl. Art. 3, Art. 7 und aArt. 52 Abs. 2 AsylG). Nach aArt. 20 Abs. 2 AsylG bewilligt es einer asylsuchenden Person die Einreise in die Schweiz zur Abklärung des Sachverhaltes, wenn ihr nicht zugemutet werden kann, im Wohnsitz- oder Aufenthaltsstaat zu bleiben oder in ein anderes Land auszureisen (vgl. BVGE 2007/19 E. 3.2;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2004 Nr. 20 E. 3.b), mithin die Prüfung der Fragen, ob eine Gefährdung im Sinne von Art. 3 AsylG glaubhaft gemacht wird und ob der Verbleib am Aufenthaltsort für die Dauer der Sachverhaltsabklärung zugemutet werden kann (vgl. BVGE 2011/10 E. 3.3).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wie auch auf die Zumutbarkeit der Inanspruchnahme des Schutzes im Drittstaat als unzutreffend erweisen. Wie sich aus den nachfolgenden Erwägungen ergibt, ist diese Frage vorliegend jedoch nicht zu prüfen.</w:t>
      </w:r>
    </w:p>
    <w:p>
      <w:r>
        <w:rPr>
          <w:b/>
        </w:rPr>
        <w:t>E. 6</w:t>
      </w:r>
    </w:p>
    <w:p>
      <w:r>
        <w:t>6.1 Aufgrund der Aktenlage gelangt das Bundesverwaltungsgericht in Übereinstimmung mit den Ausführungen in der angefochtenen Verfügung zum Schluss, dass die vom Beschwerdeführer 1 geltend gemachten Kampfhandlungen des ehemaligen äthiopischen Regimes den im Rahmen von Krieg oder Situationen allgemeiner Gewalt erlittenen Nachteilen entsprechen und somit keine Verfolgung im Sinne des Asylgesetzes darstellen, soweit sie nicht auf der Absicht beruhen, einen Menschen aus einem der in Art. 3 AsylG erwähnten Gründe gezielt zu treffen. Auch ist mit der Vorinstanz einig zu gehen, dass die vom Beschwerdeführer 1 geltend gemachten unsicheren Lebensbedingungen in seinem Heimatland auf eine bürgerkriegsbedingte Situation zurückzuführen sind, aufgrund derer gemäss ständiger Praxis und Rechtsprechung kein Asyl zu gewähren ist. Hinsichtlich des Beschwerdeführers 2 stellte die Vorinstanz zu Recht fest, er habe vorgebracht, seit seiner Geburt in Khartum zu wohnen und nie in Äthiopien gelebt zu haben, womit er (bezüglich seines Heimatstaates Äthiopien) nicht Flüchtling im Sinne von Art. 3 AsylG ist. Auch ist mit der Anmerkung in der vorinstanzlichen Verfügung einig zu gehen, dass sich die Beschwerdeführenden gemäss den Akten bereits seit 30 Jahren respektive das ganze Leben im Sudan aufhalten, die Hürden für eine zumutbare Existenz in Khartum daher offensichtlich nicht unüberwindbar scheinen und es ihnen im Falle ernsthafter Schwierigkeiten zuzumuten ist, den Schutz des im Sudan operierenden UNHCR oder die Unterstützung der grossen äthiopischen Diaspora in Anspruch zu nehmen. Die Vorbringen in der Beschwerde vermögen den Ausführungen und Einschätzungen in der angefochtenen Verfügung offenkundig keine stichhaltigen Gründe entgegenzuhalten.</w:t>
      </w:r>
    </w:p>
    <w:p>
      <w:r>
        <w:rPr>
          <w:b/>
        </w:rPr>
        <w:t>E. 6.2</w:t>
      </w:r>
    </w:p>
    <w:p>
      <w:r>
        <w:t>Zusammenfassend ist festzuhalten, dass das BFM den Beschwerdeführenden zu Recht die Einreise in die Schweiz nicht bewilligt beziehungsweise ihr Asylgesuch abgelehnt hat.</w:t>
      </w:r>
    </w:p>
    <w:p>
      <w:r>
        <w:rPr>
          <w:b/>
        </w:rPr>
        <w:t>E. 7</w:t>
      </w:r>
    </w:p>
    <w:p>
      <w:r>
        <w:t>Aus diesen Erwägungen ergibt sich, dass die angefochtene Verfügung Bundesrecht nicht verletzt sowie den rechtserheblichen Sachverhalt richtig und vollständig feststellt (Art. 106 Abs. 1 AsylG). Die Beschwerde ist demnach abzuweisen. (Mit Urteil gleichen Datums weist das Bundesverwaltungsgericht auch die gegen die vorinstanzliche Verfügung vom 29. Dezember 2014 erhobene Beschwerde der Tochter beziehungsweise der Schwester der Beschwerdeführenden ab [E-1134/2015]).</w:t>
      </w:r>
    </w:p>
    <w:p>
      <w:r>
        <w:rPr>
          <w:b/>
        </w:rPr>
        <w:t>E. 8</w:t>
      </w:r>
    </w:p>
    <w:p>
      <w:r>
        <w:t>Bei diesem Ausgang des Verfahrens wären die Kosten von Fr. 600.- grundsätzlich den Beschwerdeführenden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