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E-117/2011 vom 25. März 2011</w:t>
      </w:r>
    </w:p>
    <w:p>
      <w:r>
        <w:t>Bundesverwaltungsgericht, 2011-03-25, DE</w:t>
      </w:r>
    </w:p>
    <w:p>
      <w:r>
        <w:rPr>
          <w:b/>
        </w:rPr>
        <w:t xml:space="preserve">Quelle: </w:t>
      </w:r>
      <w:r>
        <w:t>https://mcp.opencaselaw.ch/entscheid/bvger_E-117_2011</w:t>
      </w:r>
    </w:p>
    <w:p>
      <w:r>
        <w:t>FR: TAF E-117/2011 du 25 mars 2011</w:t>
      </w:r>
    </w:p>
    <w:p>
      <w:r>
        <w:t>IT: TAF E-117/2011 del 25 marzo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Eingaben vom 24. Dezember 2010 und 15. Februar 2011 wird nicht eingetreten.</w:t>
      </w:r>
    </w:p>
    <w:p>
      <w:r>
        <w:rPr>
          <w:b/>
        </w:rPr>
        <w:t>E. 2</w:t>
      </w:r>
    </w:p>
    <w:p>
      <w:r>
        <w:t>Die beiden Eingaben werden zur Entgegennahme als Gesuch um Wiedererwägung des BFM-Entscheides vom 1. April 2009 an das BFM überwiesen.</w:t>
      </w:r>
    </w:p>
    <w:p>
      <w:r>
        <w:rPr>
          <w:b/>
        </w:rPr>
        <w:t>E. 3</w:t>
      </w:r>
    </w:p>
    <w:p>
      <w:r>
        <w:t>Der Vollzug der Wegweisung bleibt im Sinne einer vorsorglichen Massnahme bis zum allfälligen Ergehen einer anderslautenden Anordnung des BFM weiterhin ausgesetzt.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Dieses Urteil geht an die Gesuchsteller, das BFM und die zuständige kantonale Behörde. Die vorsitzende 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