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E-1176/2019 vom 27. März 2019</w:t>
      </w:r>
    </w:p>
    <w:p>
      <w:r>
        <w:t>Bundesverwaltungsgericht, 2019-03-27, DE</w:t>
      </w:r>
    </w:p>
    <w:p>
      <w:r>
        <w:rPr>
          <w:b/>
        </w:rPr>
        <w:t xml:space="preserve">Quelle: </w:t>
      </w:r>
      <w:r>
        <w:t>https://mcp.opencaselaw.ch/entscheid/bvger_E-1176_2019</w:t>
      </w:r>
    </w:p>
    <w:p>
      <w:r>
        <w:t>FR: TAF E-1176/2019 du 27 mars 2019</w:t>
      </w:r>
    </w:p>
    <w:p>
      <w:r>
        <w:t>IT: TAF E-1176/2019 del 27 marzo 2019</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Vorab ist die Frage der Prozessfähigkeit als Sachurteilsvoraussetzung von Amtes wegen zu prüfen (Fritz Gygi, Bundesverwaltungsrechtspflege, 2. Aufl. 1983, S. 73). Als verfahrensrechtliches Korrelat der Handlungsfähigkeit ist sie nach den einschlägigen zivilrechtlichen Vorschriften zu beurteilen (vgl. Urteil des BVGer D-6530/2015 vom 17. Oktober 2016 E. 3.1). Sie setzt demnach Urteilsfähigkeit, Mündigkeit und das Fehlen einer Entmündigung voraus (Art. 13 und 17 ZGB sowie Art. 35 i.V.m. Art. 20 Abs. 1 Bst. a des Bundesgesetzes vom 18. Dezember 1987 über das Internationale Privatrecht [IPRG, SR 291]).</w:t>
      </w:r>
    </w:p>
    <w:p>
      <w:r>
        <w:rPr>
          <w:b/>
        </w:rPr>
        <w:t>E. 2.2</w:t>
      </w:r>
    </w:p>
    <w:p>
      <w:r>
        <w:t>Der Beschwerdeführer stand bei der Einreichung der vorliegenden Beschwerde im (...) Altersjahr und ist damit unmündig (vgl. Art. 14 ZGB). Zwar kann sich ein minderjähriger Beschwerdeführer grundsätzlich nur mit Zustimmung seines gesetzlichen Vertreters durch seine Handlungen verpflichten (Art. 19 Abs. 1 ZGB). Soweit urteilsfähig, vermag er jedoch ohne Zustimmung des gesetzlichen Vertreters selbständig Rechte auszuüben, die ihm um seiner Persönlichkeit willen zustehen (Art. 19 Abs. 2 ZGB). Das Einreichen eines Asylgesuches wie auch die Ergreifung von damit zusammenhängenden Rechtsmitteln sind sogenannt "höchstpersönliche" Rechte, die ein nicht mündiger, aber urteilsfähiger Gesuchsteller ohne Zustimmung seines gesetzlichen Vertreters ausüben kann (vgl. BVGE 2011/39 E. 4.3.2). Urteilsfähig ist jeder, dem es nicht wegen seines Kindesalters oder infolge anderer Umstände an der Fähigkeit mangelt, vernunftgemäss zu handeln (Art. 16 ZGB). Vorliegend bestehen aufgrund der Akten keinerlei Anhaltspunkte, die zu Zweifeln an der Urteilsfähigkeit des Beschwerdeführers in Bezug auf das Einreichen des Asylgesuches oder auf die Erhebung der vorliegenden Beschwerde Anlass geben würden. Infolgedessen ist von seiner Urteils- wie auch Prozessfähigkeit auszugehen. Zudem wurde die Anhörung im Beisein der Vertrauensperson durchgeführt. Des Weiteren eröffnete sie ihm die angefochtene Verfügung und erläuterte den Inhalt sowie die Beschwerdefrist. Die Interessen des Beschwerdeführers sind somit hinreichend gewahrt worden.</w:t>
      </w:r>
    </w:p>
    <w:p>
      <w:r>
        <w:rPr>
          <w:b/>
        </w:rPr>
        <w:t>E. 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4</w:t>
      </w:r>
    </w:p>
    <w:p>
      <w:r>
        <w:t>Die Beschwerde richtet sich ausschliesslich gegen den von der Vorinstanz angeordneten Vollzug der Wegweisung. Die Dispositivziffern 1 (Verneinung der Flüchtlingseigenschaft), 2 (Ablehnung des Asylgesuchs) und 3 (Wegweisung aus der Schweiz) sind mangels Anfechtung in Rechtskraft erwachsen und bilden nicht Gegenstand des Verfahrens.</w:t>
      </w:r>
    </w:p>
    <w:p>
      <w:r>
        <w:rPr>
          <w:b/>
        </w:rPr>
        <w:t>E. 5</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6</w:t>
      </w:r>
    </w:p>
    <w:p>
      <w:r>
        <w:t>Vorab ist in formeller Hinsicht festzustellen, dass sich die Rüge des Beschwerdeführers, der ihm zugeteilte Dolmetscher habe seine Aussagen nicht korrekt übersetzt, weil er einen anderen Dialekt gesprochen habe, als unbegründet erweist. Eine Durchsicht der Befragungsprotokolle ergibt keine Hinweise darauf, es könnte bei der BzP oder der Anhörung zu Verständigungsproblemen oder Übersetzungsfehlern des Dolmetschers gekommen sein. Der Beschwerdeführer hat sowohl bei der BzP als auch der bei der Anhörung die Fragen, wie er den Dolmetscher verstehe, mit "gut" (A8/2 und A8/10) respektive "sehr gut" (A14/1 F1) beantwortet. Zudem bestätigte er am Ende der Befragung und der Anhörung jeweils unterschriftlich, dass das Protokoll vollständig sei, seinen Aussagen entspreche und in eine ihm verständliche Sprache rückübersetzt worden sei (A8/10 und A14/15). Auch die bei der Anhörung anwesende Vertrauensperson des Beschwerdeführers und die Hilfswerkvertretung hatten keine Einwände anzumelden.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Gemäss Rechtsprechung des Bundesverwaltungsgerichts ist die Vorinstanz im Zusammenhang mit der Anordnung des Wegweisungsvollzugs von unbegleiteten Minderjährigen von Amtes wegen verpflichtet, spezifische Abklärungen der persönlichen Situation unter dem Blickwinkel des Kindeswohls vorzunehmen. Ferner hat die zuständige Behörde gemäss Art. 69 Abs. 4 AIG vor einer Ausschaffung von unbegleiteten minderjährigen Personen sicherzustellen, dass diese im Rückkehrstaat einem Familienmitglied, einem Vormund oder einer Aufnahmeeinrichtung übergeben werden, welche den Schutz des Kindes gewährleisten (vgl. BVGE 2015/30 E. 7.3 m.w.H.).</w:t>
      </w:r>
    </w:p>
    <w:p>
      <w:r>
        <w:rPr>
          <w:b/>
        </w:rPr>
        <w:t>E. 8.2</w:t>
      </w:r>
    </w:p>
    <w:p>
      <w:r>
        <w:t>Diesbezüglich ist festzustellen, dass sich die Ausführungen in der angefochtenen Verfügung darauf beschränken, aufgrund der Aussagen des Beschwerdeführers nicht verifizierte Annahmen zum verwandtschaftlichen Beziehungsnetz zu treffen und in abstrakter Form auf verschiedene Akteure für die Inanspruchnahme von Hilfe zu verweisen. Der blosse Hinweis auf das verwandtschaftliche Beziehungsnetz in Albanien vermag der behördlichen Verpflichtung, von Amtes wegen spezifische Abklärungen zur persönlichen Situation des unbegleiteten minderjährigen Beschwerdeführers unter dem Blickwinkel des Kindeswohls vorzunehmen, aber nicht gerecht zu werden. Die Annahme des SEM, der Beschwerdeführer verfüge in Albanien über ein tragfähiges familiäres und soziales Beziehungsnetz, genügt den unter E. 8.1 dargelegten Anforderungen nicht. Insbesondere wurde nicht hinreichend abgeklärt, ob die Familienangehörigen (Mutter und Schwester sowie entferntere Verwandte) ihn bei einer Rückkehr tatsächlich unterstützen könnten. In der Rechtsmitteleingabe führt der Beschwerdeführer aus, er habe die Schule abbrechen müssen, um die Essens- und Mietkosten zu decken. Seine Mutter könne nach zwei Operationen von Verletzungen, die sein Vater verursacht habe, nicht mehr arbeiten. Seine Schwester arbeite in C._______, um sich ihr Studium zu finanzieren. Wenn er zurück müsste, gäbe es niemanden mehr, der für ihn sorgen könnte. Er habe zu seiner (...) kranken Mutter und seinem Vater, der ihn misshandelt habe, keinen Kontakt mehr. Auch die Sozialhilfe habe nichts für ihn getan. Seine Schwester stehe bei weiteren Fragen gerne zur Verfügung und könne auch die Kontaktdaten seiner Mutter geben. Vor diesem Hintergrund hätte das SEM im vorliegenden Fall konkret und von Amtes wegen abklären müssen, ob der Beschwerdeführer an seinem Herkunftsort oder an einem anderen Ort im Heimatland in ein dem Kindeswohl entsprechendes familiäres Umfeld zurückgeführt respektive anderweitig untergebracht werden kann. Diese konkreten Abklärungen müssen vor Erlass der Verfügung vorgenommen werden, damit sie bei Bedarf gerichtlich überprüft werden können. Dies ergibt sich direkt aus Art. 31 VGG in Verbindung mit Art. 5 VwVG. Es handelt sich dabei nicht um blosse Vollzugsmodalitäten, die von der Rechtsmittelinstanz nicht mehr überprüft werden müssen (vgl. BVGE 2015/30 E. 7.3). Aus dem Gesagten ist zu schliessen, dass das SEM den rechtserheblichen Sachverhalt im Hinblick auf den Entscheid über die Durchführbarkeit des Wegweisungsvollzugs nicht korrekt und vollständig festgestellt hat. Damit einhergehend liegt auch eine als fehlerhaft zu erachtende Würdigung insbesondere des wesentlichen Kriteriums der Unterstützungsbereitschaft und -fähigkeit von allfälligen Bezugspersonen im Heimatland vor. Gemäss geltender Rechtsprechung sind bei der Auslegung von Art. 83 Abs. 4 AIG im Lichte von Art. 3 Abs. 1 KRK unter dem Aspekt des Kindeswohls namentlich folgende Kriterien im Rahmen einer gesamtheitlichen Beurteilung von Bedeutung: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2015/30 E. 7.2; BVGE 2009/51 E. 5.6; BVGE 2009/28 E. 9.3.2, jeweils m.w.H.).</w:t>
      </w:r>
    </w:p>
    <w:p>
      <w:r>
        <w:rPr>
          <w:b/>
        </w:rPr>
        <w:t>E. 8.3</w:t>
      </w:r>
    </w:p>
    <w:p>
      <w:r>
        <w:t>Zusammenfassend ist festzustellen, dass die Vorinstanz den Sachverhalt in Bezug auf die Frage der Zumutbarkeit des Wegweisungsvollzugs unvollständig festgestellt und als Folge davon nicht haltbare Erwägungen namentlich zur Frage des Vorhandenseins von geeigneten Bezugspersonen im Heimatland sowie deren Unterstützungsbereitschaft und -fähigkeit gemacht hat. Damit hat sie Bundesrecht verletzt (vgl. Art. 49 Bst. a und b VwVG; Art. 106 Abs. 1 a und b AsylG). Um die Frage der Zumutbarkeit des Wegweisungsvollzugs zuverlässig beurteilen zu können, bedarf insbesondere die für den Beschwerdeführer konkret zu erwartende Unterbringung und Versorgung in Albanien einer vertieften Abklärung. Dabei ist zunächst in Erfahrung zu bringen, ob sich seine Kernfamilie tatsächlich weiterhin am Herkunftsort aufhält und wenn ja, ob diese bereit und in der Lage ist, den Beschwerdeführer im Falle seiner Rückkehr eine dem Kindeswohl entsprechende Unterbringung und Betreuung zu bieten. Gegebenenfalls ist zu prüfen, ob die Aufnahmezusicherung einer geeigneten Drittperson oder Institution erhältlich gemacht werden kann. Kann dies aufgrund der aktenkundigen Informationen nicht zuverlässig eruiert werden, ist der Beschwerdeführer - beispielsweise im Rahmen einer erneuten Anhörung - aufzufordern, weitergehende sachdienliche Angaben zu machen. Allenfalls sind zur Feststellung der Situation, die er bei einer Rückkehr nach Albanien erwarten würde, in geeigneter Weise weitere Abklärungen zu treffen.</w:t>
      </w:r>
    </w:p>
    <w:p>
      <w:r>
        <w:rPr>
          <w:b/>
        </w:rPr>
        <w:t>E. 9</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S. 5). Sie kann und soll aber die Grundlage des rechtserheblichen Sachverhalts nicht gleichsam an Stelle der verfügenden Verwaltungsbehörde erheben, zumal die Partei bei diesem Vorgehen eine Instanz verliert. Vorliegend ist aufgrund der vorstehenden Erwägungen nicht von einer leicht herstellbaren Entscheidreife im Wegweisungsvollzugspunkt auszugehen, weshalb ein diesbezüglicher reformatorischer Entscheid nicht sachdienlich erscheint.</w:t>
      </w:r>
    </w:p>
    <w:p>
      <w:r>
        <w:rPr>
          <w:b/>
        </w:rPr>
        <w:t>E. 10</w:t>
      </w:r>
    </w:p>
    <w:p>
      <w:r>
        <w:t>Nach dem Gesagten ist die Beschwerde im Sinne der Erwägungen gutzuheissen. Die Dispositivziffern 4 und 5 der Verfügung vom 27. Februar 2019 sind aufzuheben. Die Sache ist zur vollständigen und richtigen Feststellung des Sachverhalts sowie zur Neubeurteilung im Wegweisungsvollzugspunkt an die Vorinstanz zurückzuweisen.</w:t>
      </w:r>
    </w:p>
    <w:p>
      <w:r>
        <w:rPr>
          <w:b/>
        </w:rPr>
        <w:t>E. 11.1</w:t>
      </w:r>
    </w:p>
    <w:p>
      <w:r>
        <w:t>Bei diesem Ausgang des Verfahrens sind keine Kosten zu erheben (Art. 63 Abs. 1 VwVG).</w:t>
      </w:r>
    </w:p>
    <w:p>
      <w:r>
        <w:rPr>
          <w:b/>
        </w:rPr>
        <w:t>E. 11.2</w:t>
      </w:r>
    </w:p>
    <w:p>
      <w:r>
        <w:t>Eine Parteientschädigung ist nicht zuzusprechen, weil davon auszugehen ist, dem nicht vertretenen Beschwerdeführer seien keine notwendigen und verhältnismässig hohe Kosten erwachsen (Art. 64 VwVG i.V.m.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