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E-1175/2023 vom 19. April 2023</w:t>
      </w:r>
    </w:p>
    <w:p>
      <w:r>
        <w:t>Bundesverwaltungsgericht, 2023-04-19, DE</w:t>
      </w:r>
    </w:p>
    <w:p>
      <w:r>
        <w:rPr>
          <w:b/>
        </w:rPr>
        <w:t xml:space="preserve">Quelle: </w:t>
      </w:r>
      <w:r>
        <w:t>https://mcp.opencaselaw.ch/entscheid/bvger_E-1175_2023</w:t>
      </w:r>
    </w:p>
    <w:p>
      <w:r>
        <w:t>FR: TAF E-1175/2023 du 19 avril 2023</w:t>
      </w:r>
    </w:p>
    <w:p>
      <w:r>
        <w:t>IT: TAF E-1175/2023 del 19 aprile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E-1175/2023 Seite 4 entscheidet auf dem Gebiet des Asyls – in der Regel und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sowie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Wie beantragt und bereits mit Zwischenverfügung vom 8. März 2023 fest- gestellt (vgl. oben Sachverhalt Bst. F), wird das vorliegende Verfahren mit dem ebenfalls am Bundesverwaltungsgericht hängigen Verfahren des Partners der Beschwerdeführerin (E-1228/2023) zeitlich koordiniert und vom gleichen Spruchkörper behandelt.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Ziffer I (Bstn. a-c) dieses Erlasses gilt der Schutzstatus für fol- gende Personenkategorien:</w:t>
      </w:r>
    </w:p>
    <w:p>
      <w:r>
        <w:t>E-1175/2023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Beabsichtigt das SEM, den vorübergehenden Schutz zu verweigern, so setzt es das Verfahren über die Anerkennung als Flüchtling oder das Wegweisungsverfahren unverzüglich fort (vgl. Art. 69 Abs. 4 AsylG).</w:t>
      </w:r>
    </w:p>
    <w:p>
      <w:r>
        <w:rPr>
          <w:b/>
        </w:rPr>
        <w:t>E. 5.1</w:t>
      </w:r>
    </w:p>
    <w:p>
      <w:r>
        <w:t>In der Beschwerde werden formelle Rügen erhoben, welche vorab zu beurteilen sind, da sie gegebenenfalls geeignet sind, eine Kassation der vorinstanzlichen Verfügung zu bewirken (vgl. BGE 142 II 218 E. 2.8.1).</w:t>
      </w:r>
    </w:p>
    <w:p>
      <w:r>
        <w:rPr>
          <w:b/>
        </w:rPr>
        <w:t>E. 5.2</w:t>
      </w:r>
    </w:p>
    <w:p>
      <w:r>
        <w:t>Die Beschwerdeführerin bringt vor, die Vorinstanz habe das rechtliche Gehör sowie den Untersuchungsgrundsatz verletzt. Sie habe ihren Wohn- sitz in der Ukraine nie aufgegeben und diesen im Zeitpunkt des Kriegsaus- bruchs nicht ins Ausland, namentlich nach Polen, verlegt. Sie habe dort nur einen vorübergehenden Aufenthaltstitel gehabt, der zum Zeitpunkt des Kriegsausbruchs bereits abgelaufen gewesen sei. Die Vorinstanz habe nicht vollständig abgeklärt, ob sie bei Kriegsausbruch über einen Wohnsitz in der Ukraine verfügt beziehungsweise ihren Lebensmittelpunkt nicht ins Ausland verlegt habe. In dem die Vorinstanz nach minimalster Sachver- haltsabklärung annehme, sie gehöre nicht zur Gruppe schutzberechtigter Personen, verletze sie ihre Untersuchungspflicht. Bei Zweifeln zum Wohn- sitz in der Ukraine hätte die Vorinstanz weitere Nachforschungen anstellen müssen, insbesondere was die Verschiebung des Lebensmittelpunktes be- treffe. Zudem hätten die Umstände, weshalb sie vor Kriegsausbruch nicht</w:t>
      </w:r>
    </w:p>
    <w:p>
      <w:r>
        <w:t>E-1175/2023 Seite 6 in die Ukraine habe zurückkehren können, obwohl sie das vorgehabt habe, gewürdigt werden müssen. Ferner äussere sich die Vorinstanz nicht dazu, wohin sie zurückkehren könne oder wo ihr Schutz vor dem Krieg in der Ukraine gewährt werden würde. Diese halte lediglich fest, in den Nieder- landen wie in der Schweiz sei Voraussetzung für den Erhalt des Schutz- status, vor dem 24. Februar 2022 in der Ukraine wohnhaft gewesen zu sein. Die Vorinstanz könne sich der Pflicht zur Sachverhaltsermittlung nicht entledigen, indem sie auf die Handhabung des Schutzstatus durch andere Länder verweise. Weiter wäre die Vorinstanz verpflichtet gewesen, den Wegweisungsvollzug beziehungsweise allfällige Vollzugshindernisse zu prüfen und sich dazu zu äussern. Indem die Vorinstanz die Verantwortung für die Regelung ihres Aufenthalts an die kantonalen Behörden abschiebe, verweigere sie die Befolgung der ihr zukommenden Untersuchungspflicht sowie die Anwendung geltenden Rechts. Auch das rechtliche Gehör, na- mentlich die Begründungspflicht, sei verletzt, da die fehlende Auseinander- setzung mit allfälligen Vollzugshindernissen die effektive Beschwerdefüh- rung verunmögliche.</w:t>
      </w:r>
    </w:p>
    <w:p>
      <w:r>
        <w:rPr>
          <w:b/>
        </w:rPr>
        <w:t>E. 6</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Der Untersuchungsgrundsatz gehört sodann zu den allgemeinen Grund- sätzen des Verwaltungs- beziehungsweise Asylverfahrens (vgl. Art. 6 AsylG i.V.m. Art. 12 VwVG). Demnach hat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Der Untersuchungsgrundsatz findet seine Grenze an der Mitwirkungspflicht der Gesuchstellenden (Art. 13 VwVG und im Asylbereich speziell Art. 8 AsylG). Unrichtig ist die Sachverhaltsfeststel- lung, wenn der Verfügung ein falscher und aktenwidriger Sachverhalt zu- grunde gelegt wird oder Beweise falsch gewürdigt worden sind; unvollstän- dig ist sie, wenn nicht alle für den Entscheid rechtswesentlichen</w:t>
      </w:r>
    </w:p>
    <w:p>
      <w:r>
        <w:t>E-1175/2023 Seite 7 Sachumstände berücksichtigt werden (vgl. KÖLZ/HÄNER/BERTSCHI, Ver- waltungsverfahren und Verwaltungsrechtspflege des Bundes, 3. Aufl. 2013, Rz. 1043). Die unrichtige oder unvollständige Feststellung des rechts- erheblichen Sachverhalts bildet einen Beschwerdegrund und dem Bundes- verwaltungsgericht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w:t>
      </w:r>
    </w:p>
    <w:p>
      <w:r>
        <w:rPr>
          <w:b/>
        </w:rPr>
        <w:t>E. 7.1</w:t>
      </w:r>
    </w:p>
    <w:p>
      <w:r>
        <w:t>Wie die Vorinstanz zu Recht festgestellt hat, kommt vorliegend nur die Anwendung von Ziffer I Buchstabe a der Allgemeinverfügung in Frage (vgl. oben). Dass die Beschwerdeführerin ukrainische Staatsangehörige ist, steht nicht in Frage. Auch dass sie sich ab (…) 2021 in Polen aufgehalten habe, ihr offizieller Wohnsitz beziehungsweise ihre Meldeadresse aber nach wie vor in der Ukraine sei (vgl. SEM-Akte A1218677-4/12 S. 7 und S. 8), wurde von der Vorinstanz nicht angezweifelt. Strittig ist jedoch, ob die Vorinstanz im Zuge ihrer Erkenntnis, die Beschwerdeführerin sei nicht «vor dem 24. Februar 2022 in der Ukraine wohnhaft» gewesen, weshalb sie nicht zu der vom Bundesrat definierten Gruppe der schutzberechtigten Personen gehöre, ihrer Begründungs- und Untersuchungspflicht nachge- kommen ist. Diesbezüglich ist festzustellen, dass aus der angefochtenen Verfügung nicht hervorgeht, welche «Abklärungen des SEM» zur Wohn- sitzfrage stattgefunden hätten (vgl. Verfügung S. 3). Auch den Akten sind keine Hinweise hierzu zu entnehmen. In der kurzen Erwägung in der an- gefochtenen Verfügung definiert die Vorinstanz sodann nicht, was sie unter den Begriffen «wohnhaft» oder «Wohnsitz» versteht oder welche Voraus- setzungen sie an die Bejahung dieses Kriteriums knüpft. Ein Teil der Anga- ben der Beschwerdeführerin hat zwar Eingang in die angefochtene Verfü- gung gefunden. Eine Auseinandersetzung mit und Würdigung von weiteren hier wesentlich scheinenden Aspekten durch die Vorinstanz hat aber nicht erkennbar stattgefunden (namentlich, dass das […] Arbeitsvisum für Polen im […] 2022 abgelaufen war, die Beschwerdeführerin in Polen in unter- schiedlichen vom Arbeitgeber zur Verfügung gestellten Unterkünften ge- wohnt habe, oder sie wegen Covid respektive der ihr auferlegten Quaran- täne unfreiwillig und entgegen ihrer Pläne nicht bereits vor Kriegsbeginn in die Ukraine zurückgereist sei, vgl. SEM-Akte A1218677-6/6 F5, F6–10, 26,</w:t>
      </w:r>
    </w:p>
    <w:p>
      <w:r>
        <w:t>E-1175/2023 Seite 8 29 f.). Entsprechend wurden in der angefochtenen Verfügung nicht alle für den Entscheid rechtswesentlichen Sachumstände berücksichtigt. Nach dem Gesagten ist festzustellen, dass die Vorinstanz in diesem Punkt ihrer Begründungspflicht nicht Genüge getan hat. Ferner fusst der vorinstanzli- che Schluss, die Beschwerdeführerin sei vor dem 24. Februar 2022 nicht in der Ukraine wohnhaft gewesen (ohne zu bezeichnen, wo sie zu dem Zeitpunkt wohnhaft gewesen sei) und das Gesuch um Gewährung vorüber- gehenden Schutzes sei deshalb abzuweisen, auf einer unzureichenden Feststellung des rechtserheblichen Sachverhalts. Unter Mitberücksichti- gung der entsprechenden Angaben im vorinstanzlichen Verfahren sowie den Ausführungen in der Beschwerdeschrift hat die Vorinstanz den be- troffenen Sachverhalt vollständig festzustellen und in der Folge neu zu be- urteilen und nachvollziehbar zu begründen.</w:t>
      </w:r>
    </w:p>
    <w:p>
      <w:r>
        <w:rPr>
          <w:b/>
        </w:rPr>
        <w:t>E. 7.2</w:t>
      </w:r>
    </w:p>
    <w:p>
      <w:r>
        <w:t>Falls die Vorinstanz im Rahmen des wiederaufzunehmenden erstin- stanzlichen Verfahrens erneut zum Ergebnis einer Verweigerung vorüber- gehenden Schutzes gelangen sollte, ist weiter festzuhalten, dass auch hin- sichtlich der Fragen der Wegweisung und des Wegweisungsvollzugs von einer unzureichenden Sachverhaltsfeststellung auszugehen ist.</w:t>
      </w:r>
    </w:p>
    <w:p>
      <w:r>
        <w:rPr>
          <w:b/>
        </w:rPr>
        <w:t>E. 7.2.1</w:t>
      </w:r>
    </w:p>
    <w:p>
      <w:r>
        <w:t>Die Ablehnung eines Gesuchs um Gewährung des vorübergehenden Schutzes hat in aller Regel die Wegweisung aus der Schweiz zur Folge und diese Regelfolge greift insbesondere, wenn kein Kanton eine Aufent- haltsbewilligung erteilt hat und auch kein Anspruch auf Erteilung einer sol- chen besteht. In einem weiteren Schritt ist sodann der Vollzug der Wegwei- sung anzuordnen, soweit sich dieser als zulässig, zumutbar und möglich erweist (vgl. Art. 69 Abs. 4 AsylG, Art. 83 Abs. 1 AIG [SR 142.20]; ferner BVGE 2013/37 E. 4.4). Die Beschwerdeführerin besitzt weder eine kanto- nale Aufenthaltsbewilligung noch verfügt sie über einen Anspruch auf Er- teilung einer solchen. Weitere mögliche Ausnahmen von der Regelfolge der Wegweisungsanordnung sehen weder Gesetz noch Praxis vor. Art. 69 Abs. 4 AsylG spricht ausdrücklich von der gebotenen Weiterführung des Wegweisungsverfahrens durch das SEM, sofern dieses die Verweigerung des vorübergehenden Schutzes beabsichtigt. Das SEM kann diesfalls so- mit weder auf die Prüfung der Wegweisungs- noch der Vollzugsfrage ver- zichten und/oder den Entscheid darüber der kantonalen Behörde überlas- sen. Es geht bei der Beurteilung dieser Zuständigkeitsfrage somit vorlie- gend von einem unrichtigen rechtlichen Sachverhalt aus (vgl. u.a. Urteil des BVGer E-5631/2022 vom 14. Februar 2023 E. 5.2.2).</w:t>
      </w:r>
    </w:p>
    <w:p>
      <w:r>
        <w:t>E-1175/2023 Seite 9</w:t>
      </w:r>
    </w:p>
    <w:p>
      <w:r>
        <w:rPr>
          <w:b/>
        </w:rPr>
        <w:t>E. 7.2.2</w:t>
      </w:r>
    </w:p>
    <w:p>
      <w:r>
        <w:t>Das SEM begründet den Verzicht auf die Prüfung der Wegweisung in der angefochtenen Verfügung damit, dass die Beschwerdeführerin über die ukrainische Staatsangehörigkeit und über einen biometrischen Pass verfüge. Daher sei sie grundsätzlich und unabhängig von der Einreichung eines Asylgesuches oder eines Gesuchs um Erlangung des Schutzstatus berechtigt, legal in die Schweiz einzureisen und sich hier bis zu 90 Tage visumsfrei aufzuhalten. Die Beschwerdeführerin habe ihr Gesuch um vor- übergehenden Schutz am 8. Dezember 2022 eingereicht. Entsprechend und mangels Kenntnis des genauen Datums ihrer Einreise in die Schweiz sei nicht davon auszugehen, dass der Zeitraum von drei Monaten abge- laufen sei, weshalb das SEM nicht über die Wegweisung zu befinden habe.</w:t>
      </w:r>
    </w:p>
    <w:p>
      <w:r>
        <w:rPr>
          <w:b/>
        </w:rPr>
        <w:t>E. 7.2.3</w:t>
      </w:r>
    </w:p>
    <w:p>
      <w:r>
        <w:t>Diese Argumentation missachtet die Tatsache, dass der visumsfreie Aufenthalt während 90 Tagen zwar einen legalen Aufenthalt in der Schweiz in dieser Zeitspanne begründet (vergleichbar mit dem grundsätzlich lega- len Aufenthalt während eines Asylverfahrens nach Art. 42 AsylG), nicht aber ein gefestigtes Aufenthaltsrecht. Ebenso verkennt das SEM die bei Asylverfahren oder Verfahren betreffend vorübergehenden Schutz gel- tende Priorität des AsylG vor dem AIG. Das AIG kommt erst, aber immerhin dann zum Tragen, wenn über ein Asylgesuch oder ein Gesuch um Gewäh- rung vorübergehenden Schutzes abschlägig verfügt wird (mittels Abwei- sung oder Nichteintreten). Ist dies der Fall, muss ein Entscheid des SEM betreffend Wegweisung und Wegweisungsvollzug ergehen und hierfür wie- derum sind bei Bedarf die nötigen Abklärungen im Rahmen des Untersu- chungsgrundsatzes zu treffen. Vorliegend besteht ein solcher Abklärungs- bedarf. Dem Umstand, dass ein Verfahren betreffend Gewährung vorüber- gehenden Schutzes während der Dauer des 90-tägigen legalen und vi- sumsfreien Aufenthalts ergeht, kann beispielsweise mittels Ansetzung der Ausreisefrist auf einen Zeitpunkt nach Ablauf dieser 90-tägigen Frist Rech- nung getragen werden (vgl. u.a. Urteil des BVGer E-1652/2023 vom 3. Ap- ril 2023 E. 7.3).</w:t>
      </w:r>
    </w:p>
    <w:p>
      <w:r>
        <w:rPr>
          <w:b/>
        </w:rPr>
        <w:t>E. 7.2.4</w:t>
      </w:r>
    </w:p>
    <w:p>
      <w:r>
        <w:t>Das SEM wäre folglich mit einer beabsichtigten beziehungsweise verfügten Abweisung des Gesuchs um Gewährung vorübergehenden Schutzes gehalten gewesen, in der angefochtenen Verfügung sowohl im Dispositiv als auch in der Begründung ebenso über die Wegweisung und den Wegweisungsvollzug zu befinden. Zu diesem Zweck hat es nunmehr den entsprechenden Sachverhalt unter Mitberücksichtigung der betreffen- den Ausführungen in der Beschwerde abzuklären und zur Spruchreife zu bringen.</w:t>
      </w:r>
    </w:p>
    <w:p>
      <w:r>
        <w:t>E-1175/2023 Seite 10</w:t>
      </w:r>
    </w:p>
    <w:p>
      <w:r>
        <w:rPr>
          <w:b/>
        </w:rPr>
        <w:t>E. 7.3</w:t>
      </w:r>
    </w:p>
    <w:p>
      <w:r>
        <w:t>Da nach dem Gesagten die Begründungspflicht verletzt wurde sowie nicht alle für den Entscheid rechtswesentlichen Sachumstände abgeklärt und berücksichtigt wurden, mithin eine fehler- und lückenhafte Feststellung des Sachverhalts vorliegt, ist die angefochtene Verfügung aufzuheben und die Sache zur vollständigen Sachverhaltsabklärung und -feststellung unter Mitberücksichtigung des Beschwerdeinhalts sowie zur Neubeurteilung an die Vorinstanz zurückzuweisen. Die Beschwerde ist insoweit gutzuheissen. Eine (praxisgemäss nur unter restriktiven Voraussetzungen mögliche) Hei- lung der erkannten Verfahrensmängel aus prozessökonomischen Gründen auf Beschwerdeebene fällt vorliegend ausser Betracht, da namentlich die Sachverhaltsabklärung und -feststellung Sache der Vorinstanz ist und der Beschwerdeführerin im Falle eines für sie ungünstigen Ergebnisses der weiteren Abklärungen oder einer fehlerhaft vervollständigten Sachverhalts- feststellung durch das letztinstanzlich entscheidende Bundesverwaltungs- gericht der Rechtsweg abgeschnitten würde. Bei dieser Sachlage erübrigt sich eine Auseinandersetzung mit den restli- chen Vorbringen in der Beschwerdeschrift.</w:t>
      </w:r>
    </w:p>
    <w:p>
      <w:r>
        <w:rPr>
          <w:b/>
        </w:rPr>
        <w:t>E. 8</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aufzuheben und die Beschwerde im Hauptbe- gehren gutzuheissen.</w:t>
      </w:r>
    </w:p>
    <w:p>
      <w:r>
        <w:rPr>
          <w:b/>
        </w:rPr>
        <w:t>E. 9.1</w:t>
      </w:r>
    </w:p>
    <w:p>
      <w:r>
        <w:t>Bei diesem Ausgang des Verfahrens sind keine Kosten zu erheben (Art. 63 Abs. 1 und 2 VwVG). Die Gesuche um Gewährung der unentgelt- lichen Prozessführung und Rechtsverbeiständung werden mit vorliegen- dem Urteil hinfällig.</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w:t>
      </w:r>
    </w:p>
    <w:p>
      <w:r>
        <w:t>E-1175/2023 Seite 11 Die bei den Akten liegende Kostennote bezieht sich auf das Verfahren der Beschwerdeführerin und dasjenige ihres Partners. Der erhobene Honorar- anspruch ist mithin hälftig auf beide Verfahren aufzuteilen. Der zeitliche Aufwand von insgesamt zwölfeinhalb Stunden à Fr. 220.– erscheint den Verfahrensumständen als überhöht und ist auf zehn Stunden zu kürzen. Hinzu kommen Auslagen von Fr. 34.60. Insgesamt ist damit von einem An- spruch in der Höhe von Fr. 2'234.60 auszugehen. Die von der Vorinstanz auszurichtende Parteientschädigung im vorliegenden Verfahren ist dem- nach auf Fr. 1'117.30 (inkl. Auslagen) festzusetzen. Die Parteientschädi- gung umfasst keinen Mehrwertsteuerzuschlag im Sinne von Art. 9 Abs. 1 Bst. c VGKE.</w:t>
      </w:r>
    </w:p>
    <w:p>
      <w:r>
        <w:t>(Dispositiv nächste Seite)</w:t>
      </w:r>
    </w:p>
    <w:p>
      <w:r>
        <w:t>E-1175/2023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