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E-1175/2021 vom 22. März 2021</w:t>
      </w:r>
    </w:p>
    <w:p>
      <w:r>
        <w:t>Bundesverwaltungsgericht, 2021-03-22, DE</w:t>
      </w:r>
    </w:p>
    <w:p>
      <w:r>
        <w:rPr>
          <w:b/>
        </w:rPr>
        <w:t xml:space="preserve">Quelle: </w:t>
      </w:r>
      <w:r>
        <w:t>https://mcp.opencaselaw.ch/entscheid/bvger_E-1175_2021</w:t>
      </w:r>
    </w:p>
    <w:p>
      <w:r>
        <w:t>FR: TAF E-1175/2021 du 22 mars 2021</w:t>
      </w:r>
    </w:p>
    <w:p>
      <w:r>
        <w:t>IT: TAF E-1175/2021 del 22 marzo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respektive Art. 10 der Verordnung über Massnahmen im Asylbereich im Zusammenhang mit dem Coronavirus [SR 142.318]; Art. 48 Abs. 1 sowie Art. 52 Abs. 1 VwVG).</w:t>
      </w:r>
    </w:p>
    <w:p>
      <w:r>
        <w:rPr>
          <w:b/>
        </w:rPr>
        <w:t>E. 1.4</w:t>
      </w:r>
    </w:p>
    <w:p>
      <w:r>
        <w:t>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begründete ihren ablehnenden Asylentscheid im Wesentlichen mit der fehlenden Glaubhaftigkeit der Vorbringen betreffend die Al Hirak Bewegung. Ungeachtet ihrer asylrechtlichen Relevanz seien die diesbezüglichen Schilderungen des Beschwerdeführers vage, wenig substanziiert und teilweise widersprüchlich ausgefallen. Insbesondere seien seine Ausführungen zum Haftbefehl und der vorangehenden Auseinandersetzung mit der Polizei weitgehend substanzlos und frei von persönlicher Prägung geblieben. Gleiches gelte für die knappen und unpersönlichen Schilderungen zur geltend gemachten einwöchigen Inhaftierung. Ferner habe er beispielsweise ausgeführt, von seinem Vater über die behördliche Suche nach ihm nach seiner Ausreise informiert worden zu sein. In seinem ersten Asylverfahren in der Schweiz habe er allerdings angegeben, sein Vater sei verstorben, wobei er hierfür im aktuellen Verfahren keine überzeugende Erklärung habe liefern können. Auch zu seinen Aufenthaltsorten seit der Rückkehr im Jahr 2015 habe er widersprüchliche Angaben gemacht. Weder im Zusammenhang mit dem (...)teilhaber noch mit der von ihm gefilmten Person an den Demonstrationen hätten sich im Jahr vor seiner Ausreise irgendwelche Ereignisse zugetragen, weshalb es diesen Vorbringen an asylrechtlicher Relevanz fehle. Soweit er in seiner Stellungnahme zum Entscheidentwurf überdies auf einen anstehenden Arzttermin verweise, könne daraus nicht auf die ungenügende Abklärung des medizinischen Sachverhalts geschlossen werden. Aus den Akten ergebe sich, dass jedenfalls bereits eine (Verdachts-)Diagnose gestellt worden sei und nähere Abklärungen hierzu sowie allfällige diesbezügliche Behandlungsschritte auch in seinem Heimatstaat vorgenommen werden könnten.</w:t>
      </w:r>
    </w:p>
    <w:p>
      <w:r>
        <w:rPr>
          <w:b/>
        </w:rPr>
        <w:t>E. 4.2</w:t>
      </w:r>
    </w:p>
    <w:p>
      <w:r>
        <w:t>Zur Begründung seines Rechtsmittels führte der Beschwerdeführer im Wesentlichen aus, entgegen der Einschätzung der Vorinstanz seien seine Ausführungen detailliert und substanziiert ausgefallen. Er leide aufgrund eines Gefängnisaufenthaltes mit Gewalterfahrung und Folter an depressiven Symptomen und einer Posttraumatischen Belastungsstörung (PTBS). Ein Termin für eine erste Untersuchung hierzu sei für den (...). März 2021 - mithin also nach Ablauf der Beschwerdefrist - vereinbart worden. Insofern sei die vorinstanzliche Verfügung also ohne Rücksicht auf seine psychischen Probleme und auf entsprechende Auswirkungen auf seine Aussagefähigkeit ergangen, womit der medizinische Sachverhalt vorliegend nicht rechtsgenüglich abgeklärt worden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 die Vorbringen des Beschwerdeführers zu Recht als unglaubhaft sowie im Übrigen als asylrechtlich nicht relevant qualifiziert hat. Die Ausführungen in der Beschwerdeschrift vermögen den Erwägungen des SEM letztlich nichts Stichhaltiges entgegenzusetzen. Somit kann vorab auf die zutreffenden Erwägungen der angefochtenen Verfügung verwiesen werden. Ergänzend hält das Bundesverwaltungsgericht Folgendes fest:</w:t>
      </w:r>
    </w:p>
    <w:p>
      <w:r>
        <w:rPr>
          <w:b/>
        </w:rPr>
        <w:t>E. 6.2</w:t>
      </w:r>
    </w:p>
    <w:p>
      <w:r>
        <w:t>Die Vorinstanz hat die Ausführungen des Beschwerdeführers insbesondere zu seiner Inhaftierung im März 2019 und der Auseinandersetzung mit der Polizei, die im Februar 2020 einen Haftbefehl nach sich gezogen haben soll, zu Recht als unglaubhaft qualifiziert.</w:t>
      </w:r>
    </w:p>
    <w:p>
      <w:r>
        <w:rPr>
          <w:b/>
        </w:rPr>
        <w:t>E. 6.2.1</w:t>
      </w:r>
    </w:p>
    <w:p>
      <w:r>
        <w:t>Die Schilderungen des Beschwerdeführers zu seiner (...)wöchigen Inhaftierung im März 2019 blieben oberflächlich und vage. Während er im Rahmen der freien Erzählung in pauschaler Weise vorbrachte, im Gefängnis geschlagen worden zu sein, folgten im späteren Verlauf der Anhörung erstaunlicherweise weder entsprechende Präzisierungen noch erwähnte er Handgreiflichkeiten irgendwelcher Art (vgl. act. [...]-16/24 F80). Vielmehr beschränkte er sich, konkret nach dem Haftaufenthalt befragt, auf die Angabe, beschimpft und durch herunterfallende Wassertropfen gestört worden zu sein (vgl. act. [...]-16/24 F144, F174). Soweit der Beschwerdeführer zur Erklärung für seine knappen Ausführungen vorbrachte, es sei schlichtweg nichts passiert, vermag dies nicht zu überzeugen (vgl. act. [...]-21/6 S. 2). Nebenbei bemerkt, lässt sich dieser Einwand auch kaum mit dem ärztlichen Überweisungsbericht vom 4. Februar 2021 vereinbaren, der die depressiven Symptome und die PTBS des Beschwerdeführers anamnetisch auf einen längeren Gefängnisaufenthalt mit Gewalterfahrung und Folter zurückführt (vgl. [...]-21/6 S. 5). Diesbezüglich ist festzustellen, dass sich aus den Akten (insbesondere auch den beigezogenen Akten des ersten Asylverfahrens) keine Hinweise auf weitere Gefängnisaufenthalte des Beschwerdeführers ergeben. Insofern ist auch festzuhalten, dass keine Anhaltspunkte für die auf Beschwerdeebene behauptete Beeinträchtigung der Aussagefähigkeit des Beschwerdeführers ersichtlich sind.</w:t>
      </w:r>
    </w:p>
    <w:p>
      <w:r>
        <w:rPr>
          <w:b/>
        </w:rPr>
        <w:t>E. 6.2.2</w:t>
      </w:r>
    </w:p>
    <w:p>
      <w:r>
        <w:t>Ebenfalls unsubstanziiert und kaum von persönlichen Eindrücken geprägt fielen die Darlegungen des Beschwerdeführers zur Auseinandersetzung mit der Polizei, die in einen Haftbefehl gemündet haben soll, aus (vgl. act. [...]-16/24 F117 ff.). Diesbezüglich ist auch anzumerken, dass nicht nachvollziehbar ist, weshalb die Polizei erst nach der Ausreise des Beschwerdeführers im Quartier nach ihm gefragt haben sollte, wo doch der Haftbefehl bereits im Februar 2020 ergangen sein soll (vgl. act. [...]-16/244 F32).</w:t>
      </w:r>
    </w:p>
    <w:p>
      <w:r>
        <w:rPr>
          <w:b/>
        </w:rPr>
        <w:t>E. 6.3</w:t>
      </w:r>
    </w:p>
    <w:p>
      <w:r>
        <w:t>Nebst der dargelegten Substanzlosigkeit ergeben sich in Bezug auf die geltend gemachten Vorbringen auch zeitliche Ungereimtheiten. Einerseits führte der Beschwerdeführer aus, sich nicht mehr direkt an Aktivitäten der Al Hirak Bewegung beteiligt zu haben, nachdem der Haftbefehl ergangen sei (vgl. act. [...]-16/24 F163). An anderer Stelle gab er an, drei Monate lang an Demonstrationen teilgenommen und jeweils davon berichtet zu haben (vgl. act. [...]-16/24 F169 f.). Unter Berücksichtigung des Umstands, dass er ab Ende Februar 2019 in der Bewegung aktiv gewesen sein will, wäre er also bereits Ende Mai/Anfang Juni 2019 nicht mehr Teil von Al Hirak gewesen (vgl. act. [...]-16/24 F78). Insofern ist nicht ersichtlich, weshalb er zu Beginn des Jahres 2020 - einen Monat vor Erlass des Haftbefehls - in den Fokus der Polizei gerückt sein sollte (vgl. act. [...]-16/24 F113). Mithin gab er auch zu Protokoll, die Polizei habe sein Facebook-Konto, das ihm zur Berichterstattung gedient habe, bereits im März 2019 gesperrt und fortdauernde oder andere Aktivitäten dieser Art machte er gerade nicht geltend (vgl. act. [...]-16/24 F157 f.).</w:t>
      </w:r>
    </w:p>
    <w:p>
      <w:r>
        <w:rPr>
          <w:b/>
        </w:rPr>
        <w:t>E. 6.4</w:t>
      </w:r>
    </w:p>
    <w:p>
      <w:r>
        <w:t>Der Vorinstanz ist darin zuzustimmen, dass weder den geltend gemachten Schwierigkeiten mit dem (...)teilhaber noch denjenigen mit der von ihm gefilmten, eingeschleusten Person an den Demonstrationen asylrechtliche Relevanz zukommt. Der Beschwerdeführer gab zu Protokoll, es sei nach Ende 2018 (Teilhaber) respektive August 2019 (Demonstrationsteilnehmer) zu keinen weiteren Zwischenfällen gekommen (vgl. act. [...]-16/24 F99, F133). Aus den Akten ergeben sich keine Hinweise auf anhaltende Probleme in diesem Zusammenhang. Zudem liess der Beschwerdeführer im Rahmen der Stellungnahme zum Entscheidentwurf anmerken, die Probleme mit dem (...)teilhaber seien nicht der Hauptgrund seiner Ausreise gewesen (vgl. act. [...]-21/6 S. 3).</w:t>
      </w:r>
    </w:p>
    <w:p>
      <w:r>
        <w:rPr>
          <w:b/>
        </w:rPr>
        <w:t>E. 6.5</w:t>
      </w:r>
    </w:p>
    <w:p>
      <w:r>
        <w:t>Zusammenfassend ist daher festzuhalten, dass die Vorinstanz zu Recht die Flüchtlingseigenschaft des Beschwerdeführers verneint und sein Asylgesuch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Algerien herrscht weder Krieg oder Bürgerkrieg noch liegt eine Situation allgemeiner Gewalt im Sinne von Art. 83 Abs. 4 AIG vor. Somit sprechen weder die aktuelle politische Lage noch andere allgemeine Gründe gegen die Zumutbarkeit einer Rückführung nach Algerien.</w:t>
      </w:r>
    </w:p>
    <w:p>
      <w:r>
        <w:rPr>
          <w:b/>
        </w:rPr>
        <w:t>E. 8.3.2</w:t>
      </w:r>
    </w:p>
    <w:p>
      <w:r>
        <w:t>In Bezug auf die geltend gemachten psychischen Probleme des Beschwerdeführers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w:t>
      </w:r>
    </w:p>
    <w:p>
      <w:r>
        <w:rPr>
          <w:b/>
        </w:rPr>
        <w:t>E. 8.3.3</w:t>
      </w:r>
    </w:p>
    <w:p>
      <w:r>
        <w:t>Derzeit befindet sich der Beschwerdeführer, der sich seit rund fünf Monaten in der Schweiz aufhält, nicht in Behandlung. Weder aus dem ärztlichen Überweisungsbericht noch aus den Akten ergibt sich mithin eine schwerwiegende Erkrankung des Beschwerdeführers, die zur Annahme führen würde, bei einer Rückkehr in sein Heimatland käme es zu einer raschen und lebensgefährdenden Bedrohung seiner Gesundheit. Ebenso wenig lässt eine allfällige psychische Erkrankung des Beschwerdeführers auf eine medizinische Notlage schliessen, die in seinem Heimatland nicht behandelbar wäre. Das SEM verweist zu Recht auf die medizinischen Behandlungsmöglichkeiten, die ihm bei Bedarf in Algerien, insbesondere in Algier, zur Verfügung stehen. Insbesondere ist in Algerien der Zugang zu ambulanten psychologischen und psychiatrischen Behandlungen gewährleistet, auch wenn die algerischen Qualitätsstandards und Behandlungs-methoden nicht den sehr hohen schweizerischen Standards entsprechen. Einwände in der Beschwerde betreffend die medizinische Versorgung in Algerien (Bevorzugung medikamentöser Behandlung, Stigmata) sind nicht stichhaltig. Vor diesem Hintergrund besteht für das Bundesverwaltungsgericht keine Veranlassung, den Arzttermin abzuwarten. Für die subeventualiter beantragte Rückweisung an die Vorinstanz besteht ebenfalls keine Veranlassung, da die vorhandene Verdachtsdiagnose Eingang in die vor-instanzlichen Erwägungen zum Wegweisungsvollzug gefunden hat und der medizinische Sachverhalt genügend erstellt ist.</w:t>
      </w:r>
    </w:p>
    <w:p>
      <w:r>
        <w:rPr>
          <w:b/>
        </w:rPr>
        <w:t>E. 8.3.4</w:t>
      </w:r>
    </w:p>
    <w:p>
      <w:r>
        <w:t>Überdies verfügt der Beschwerdeführer über Berufserfahrung im Baubereich und es ist anzunehmen, dass er bei einer Rückkehr wiederum auf die Unterstützung seiner Eltern zählen kann, bei denen er bis zu seiner Ausreise gelebt und mit denen er nach wie vor Kontakt hat (vgl. act. [...]-16/24 F24, F28).</w:t>
      </w:r>
    </w:p>
    <w:p>
      <w:r>
        <w:rPr>
          <w:b/>
        </w:rPr>
        <w:t>E. 8.3.5</w:t>
      </w:r>
    </w:p>
    <w:p>
      <w:r>
        <w:t>Nach dem Gesagten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(Art. 106 Abs. 1 AsylG). Die Beschwerde ist abzuweisen.</w:t>
      </w:r>
    </w:p>
    <w:p>
      <w:r>
        <w:rPr>
          <w:b/>
        </w:rPr>
        <w:t>E. 10.1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 Begehren gemäss den vorstehenden Erwägungen als aussichtslos zu bezeichnen waren und es daher an einer gesetzlichen Voraussetzung zu dessen Gewährung fehlt. Das Gesuch um Verzicht auf die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