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E-1175/2017 vom 27. Juli 2018</w:t>
      </w:r>
    </w:p>
    <w:p>
      <w:r>
        <w:t>Bundesverwaltungsgericht, 2018-07-27, FR</w:t>
      </w:r>
    </w:p>
    <w:p>
      <w:r>
        <w:rPr>
          <w:b/>
        </w:rPr>
        <w:t xml:space="preserve">Quelle: </w:t>
      </w:r>
      <w:r>
        <w:t>https://mcp.opencaselaw.ch/entscheid/bvger_E-1175_2017</w:t>
      </w:r>
    </w:p>
    <w:p>
      <w:r>
        <w:t>FR: TAF E-1175/2017 du 27 juillet 2018</w:t>
      </w:r>
    </w:p>
    <w:p>
      <w:r>
        <w:t>IT: TAF E-1175/2017 del 27 luglio 2018</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Compte tenu du caractère sommaire de l'audition au Centre d'enregistrement et de procédure (ci-après : CEP), il est communément admis que les déclarations faites à cette occasion n'ont qu'une valeur probatoire restreinte dans l'appréciation de la vraisemblance des motifs d'asile. Les contradictions éventuelles ne peuvent ainsi être retenues dans cette appréciation que lorsque les déclarations sont diamétralement opposées à celles faites ultérieurement lors de l'audition sur les motifs d'asile, ou lorsque des événements ou des craintes déterminés, invoqués par la suite comme motif d'asile, n'ont pas été évoqués, au moins dans les grandes lignes au CEP (Jurisprudence et informations de la Commission suisse de recours en matière d'asile [JICRA] 1993 n° 3).</w:t>
      </w:r>
    </w:p>
    <w:p>
      <w:r>
        <w:rPr>
          <w:b/>
        </w:rPr>
        <w:t>E. 3.1</w:t>
      </w:r>
    </w:p>
    <w:p>
      <w:r>
        <w:t>En l'espèce, il s'agit de déterminer si le SEM était fondé à nier la vraisemblance au sens de l'art. 7 LAsi des motifs d'asile de la recourante.</w:t>
      </w:r>
    </w:p>
    <w:p>
      <w:r>
        <w:rPr>
          <w:b/>
        </w:rPr>
        <w:t>E. 3.2</w:t>
      </w:r>
    </w:p>
    <w:p>
      <w:r>
        <w:t>Le Tribunal estime, contrairement au SEM, que les déclarations de la recourante lors de l'audition sommaire quant à l'emplacement de la prison (soit B._______) ne sont pas diamétralement différentes de celles faites ultérieurement (soit D._______), puisqu'elle a situé D._______ à proximité immédiate de B._______, voire « en haut de B._______ ». Il en va de même de celles sur le lieu d'affectation de son époux. En effet, lors de l'audition sommaire, la question y relative a été posée à la recourante, sans indication de l'année à laquelle il était fait référence. Ainsi, la réponse de celle-ci, soit C._______, est sujette à interprétation. De surcroît, la recourante n'a pas été confrontée à cette réponse apparemment contradictoire à celle ultérieure selon laquelle son époux était affecté à E._______, ce qui constitue, au regard de la jurisprudence, une constatation inexacte des faits pertinents (cf. JICRA 1994 no 13). Dans ces circonstances, le SEM n'était pas fondé à retenir que les déclarations sur les motifs d'asile étaient entachées de deux contradictions sur des points essentiels. Le Tribunal est d'avis qu'au cours de ses interrogatoires successifs, la recourante a été constante dans les grandes lignes portant sur les événements qui l'ont amenée à quitter son pays.</w:t>
      </w:r>
    </w:p>
    <w:p>
      <w:r>
        <w:rPr>
          <w:b/>
        </w:rPr>
        <w:t>E. 3.3</w:t>
      </w:r>
    </w:p>
    <w:p>
      <w:r>
        <w:t>Le Tribunal ne partage pas non plus l'appréciation du SEM, selon laquelle les déclarations de la recourante sur son arrivée à la prison et sa description de son lieu de détention (y compris de la cellule qu'elle a partagée avec trois femmes) manquent de détails significatifs d'une expérience vécue. Il convient en effet d'apprécier ces déclarations en prenant en considération son niveau d'instruction élémentaire, les deux ans et demi séparant la détention alléguée et la seconde audition et l'intensité de la violence subie. Par ailleurs, s'agissant de la description par la recourante de la prison et de la cellule, le SEM ne l'a pas interrogée sur l'aspect général du bâti environnant, la taille de la cellule, son ameublement et le nombre de codétenues, sur lesquels il aurait voulu être renseigné ; il ne saurait donc lui reprocher de ne pas les avoir décrit spontanément.</w:t>
      </w:r>
    </w:p>
    <w:p>
      <w:r>
        <w:rPr>
          <w:b/>
        </w:rPr>
        <w:t>E. 3.4</w:t>
      </w:r>
    </w:p>
    <w:p>
      <w:r>
        <w:t>Certes, il convient d'admettre que la renonciation de la recourante à lire la lettre apportée par un soldat et réceptionnée par sa tante ne paraît guère rationnelle au premier abord. Il est toutefois crédible qu'elle ait fait confiance à sa tante qui l'a lue et qu'un sentiment de peur intense ait pu engendrer sa fuite, sans qu'elle ait eu la volonté ou la force de le lire elle-même.</w:t>
      </w:r>
    </w:p>
    <w:p>
      <w:r>
        <w:rPr>
          <w:b/>
        </w:rPr>
        <w:t>E. 3.5</w:t>
      </w:r>
    </w:p>
    <w:p>
      <w:r>
        <w:t>Enfin, on ne saurait tirer aucun élément d'invraisemblance du fait que la recourante a dit ignorer si elle était ou non surveillée durant le laps de temps où elle a été soignée ambulatoirement dans le dispensaire de sa localité. On peut uniquement déduire de cette réponse qu'elle n'a pas remarqué que tel a été le cas.</w:t>
      </w:r>
    </w:p>
    <w:p>
      <w:r>
        <w:rPr>
          <w:b/>
        </w:rPr>
        <w:t>E. 3.6</w:t>
      </w:r>
    </w:p>
    <w:p>
      <w:r>
        <w:t>Surtout, les déclarations de la recourante sur les violences, notamment sexuelles, endurées en prison sont crédibles. En effet, la difficulté de la narration des évènements les plus traumatisants subis de nuit (double viol) se remarque, à la lecture du procès-verbal de la première audition, par leur seule suggestion et une transition dans le récit, avec un passage à l'emploi du pronom personnel à la deuxième personne en lieu et place de la première (cf. pv p. 8 s.) et des sanglots, et, à la lecture du procès-verbal de la seconde, par la même transition dans le récit et l'absence de récit spontané sur le viol et ses conséquences (cf. pv rép. 83 à 85). De plus, son allégué selon lequel le viol lui a causé des blessures engendrant de l'incontinence est plausible ; il est notoire qu'un viol peut occasionner notamment une fistule traumatique (voir par ex. Onsrud, Sjøveian, Luhiriri, Mukwege, Social Issues in reproductive Health, Sexual violence-related fistulas in the Democratic Republic of Congo, 22 juillet 2008, in : International Journal of Gynecology and Obstetrics (2008) 103, p. 265 à 269). De surcroit, ses déclarations sur la persécution réfléchie subie ensuite de la désertion de son époux sont plausibles, dès lors qu'elles s'insèrent dans un contexte notoire ; en effet, il est connu que les autorités érythréennes ont pour pratique de soumettre les membres de la famille de déserteurs à des mesures punitives, dont l'emprisonnement, l'imposition de lourdes amendes et la confiscation des biens (voir arrêt du Tribunal D-13/2014 du 10 juillet 2014 consid. 5.4.4). Qui plus est, l'Erythrée est un pays hautement militarisé et à domination masculine fortement ancrée dans la société, ce qui engendre de nombreuses violences de genre à l'égard des femmes, commises souvent en toute impunité ; ainsi, les femmes en détention sont victimes de nombreuses formes de violences, notamment sexuelles, perpétrées par des gardiens, sans possibilité de poursuites appropriées (cf. Comité pour l'élimination de la discrimination à l'égard des femmes, Observations finales concernant le quatrième et cinquième rapports périodiques de l'Erythrée, 2015, CEDAW/C/ERI/CO/5, en particulier ch. 8, 18, 40).</w:t>
      </w:r>
    </w:p>
    <w:p>
      <w:r>
        <w:rPr>
          <w:b/>
        </w:rPr>
        <w:t>E. 3.7</w:t>
      </w:r>
    </w:p>
    <w:p>
      <w:r>
        <w:t>Au vu de ce qui précède, le Tribunal estime que le SEM n'était pas fondé à nier la vraisemblance au sens de l'art. 7 LAsi des motifs de fuite de la recourante.</w:t>
      </w:r>
    </w:p>
    <w:p>
      <w:r>
        <w:rPr>
          <w:b/>
        </w:rPr>
        <w:t>E. 4.1</w:t>
      </w:r>
    </w:p>
    <w:p>
      <w:r>
        <w:t>Cela étant, il reste à examiner si les allégués sur les préjudices subis, considérés par le Tribunal comme vraisemblables, sont déterminants pour la reconnaissance de la qualité de réfugié au sens de l'art. 3 LAsi.</w:t>
      </w:r>
    </w:p>
    <w:p>
      <w:r>
        <w:rPr>
          <w:b/>
        </w:rPr>
        <w:t>E. 4.2</w:t>
      </w:r>
    </w:p>
    <w:p>
      <w:r>
        <w:t>Les préjudices subis revêtent, dans leur intensité, le caractère de sérieux préjudices. La recourante ne pouvait pas escompter dans son pays d'origine une protection appropriée contre les violences physiques, notamment le viol par des agents de détention (cf. consid. 3.5 ci-avant). La violence sexuelle subie est constitutive d'un motif de fuite spécifique aux femmes, au sens de l'art. 3 al. 2 dernière phrase LAsi. En effet, elle est liée à la condition des femmes dans un pays, où, comme déjà dit, l'impunité des agents de détention pour de tels actes est la règle (voir mutatis mutandis, arrêt du Tribunal D-6729/2009 du 14 février 2013 consid. 5 et réf. cit. s'agissant de la pertinence en matière d'asile de viols endurés dans le cadre du service national). En outre, un risque sérieux et concret de répétition de la persécution subie est présumé, en l'absence de possibilité de refuge interne (cf. JICRA 2006 no 32 consid. 7.4.3) et de rupture du lien de causalité, qu'il soit temporel ou matériel (cf. ATAF 2011/50 consid. 3.1.2).</w:t>
      </w:r>
    </w:p>
    <w:p>
      <w:r>
        <w:rPr>
          <w:b/>
        </w:rPr>
        <w:t>E. 4.3</w:t>
      </w:r>
    </w:p>
    <w:p>
      <w:r>
        <w:t>Par conséquent, les préjudices subis sont déterminants pour la reconnaissance de la qualité de réfugié au sens de l'art. 3 LAsi.</w:t>
      </w:r>
    </w:p>
    <w:p>
      <w:r>
        <w:rPr>
          <w:b/>
        </w:rPr>
        <w:t>E. 4.4</w:t>
      </w:r>
    </w:p>
    <w:p>
      <w:r>
        <w:t>Dans ces conditions, la question d'une éventuelle persécution réfléchie en raison du comportement de son époux peut demeurer indécise.</w:t>
      </w:r>
    </w:p>
    <w:p>
      <w:r>
        <w:rPr>
          <w:b/>
        </w:rPr>
        <w:t>E. 5</w:t>
      </w:r>
    </w:p>
    <w:p>
      <w:r>
        <w:t>Il ne ressort du dossier aucun indice quant à l'existence éventuelle d'un élément constitutif d'un motif d'exclusion de la qualité de réfugié au sens de l'art. 1 let. F de la Convention du 28 juillet 1951 relative au statut des réfugiés (RS 0.142.30) ou de l'asile au sens de l'art. 53 LAsi. La recourante doit donc se voir reconnaître la qualité de réfugié pour un motif objectif antérieur à son départ d'Erythrée. Elle doit se voir accorder également l'asile, conformément aux art. 2 et art. 49 LAsi. Partant, la décision de renvoi doit être annulée, les conditions fixées à l'art. 44 LAsi n'étant pas réunies.</w:t>
      </w:r>
    </w:p>
    <w:p>
      <w:r>
        <w:rPr>
          <w:b/>
        </w:rPr>
        <w:t>E. 6</w:t>
      </w:r>
    </w:p>
    <w:p>
      <w:r>
        <w:t>Au vu de ce qui précède, la décision attaquée doit être annulée pour violation du droit fédéral (cf. art. 106 al. 1 let. a LAsi). Le SEM est invité à reconnaître la recourante comme réfugiée, au sens de l'art. 3 al. 1 LAsi, et à lui accorder l'asile, en application de l'art. 49 LAsi.</w:t>
      </w:r>
    </w:p>
    <w:p>
      <w:r>
        <w:rPr>
          <w:b/>
        </w:rPr>
        <w:t>E. 7.1</w:t>
      </w:r>
    </w:p>
    <w:p>
      <w:r>
        <w:t>La recourante ayant obtenu gain de cause, il n'y a pas lieu de percevoir de frais de procédure (cf. art. 63 al. 1 et al. 2 PA).</w:t>
      </w:r>
    </w:p>
    <w:p>
      <w:r>
        <w:rPr>
          <w:b/>
        </w:rPr>
        <w:t>E. 7.2</w:t>
      </w:r>
    </w:p>
    <w:p>
      <w:r>
        <w:t>Vu l'issue de la cause, il y a lieu d'allouer des dépens pour les frais nécessaires causés par le litige (cf. art. 64 al. 1 PA et art. 7 al. 1 du règlement du 21 février 2008 concernant les frais, dépens et indemnités fixés par le Tribunal administratif fédéral [FITAF, RS 173.320.2]). Ils sont fixés à 700 francs sur la base du dossier, à charge du SEM (cf. art. 14 FITAF).(dispositif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