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E-1173/2008 vom 18. November 2010</w:t>
      </w:r>
    </w:p>
    <w:p>
      <w:r>
        <w:t>Bundesverwaltungsgericht, 2010-11-18, DE</w:t>
      </w:r>
    </w:p>
    <w:p>
      <w:r>
        <w:rPr>
          <w:b/>
        </w:rPr>
        <w:t xml:space="preserve">Quelle: </w:t>
      </w:r>
      <w:r>
        <w:t>https://mcp.opencaselaw.ch/entscheid/bvger_E-1173_2008</w:t>
      </w:r>
    </w:p>
    <w:p>
      <w:r>
        <w:t>FR: TAF E-1173/2008 du 18 novembre 2010</w:t>
      </w:r>
    </w:p>
    <w:p>
      <w:r>
        <w:t>IT: TAF E-1173/2008 del 18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Vorweg ist anzumerken, dass der Beschwerdeführer den schweize-rischen Asylbehörden bis heute keine rechtsgenüglichen Reise- oder Identitätspapiere abgegeben hat. Bei der von ihm anlässlich der Erst-befragung vom 7. August 2007 eingereichten Geburtsurkunde handelt es sich nicht um ein Reise- oder Identitätspapier gemäss Art. 1a Bstn. b und c der Asylverordnung 1 vom 11. August 1999 über Verfah-rensfragen (AsylV 1, SR 142.311). Er hat keine ersichtlichen Anstren-gungen unternommen, sich entsprechende Papiere zu beschaffen.</w:t>
      </w:r>
    </w:p>
    <w:p>
      <w:r>
        <w:rPr>
          <w:b/>
        </w:rPr>
        <w:t>E. 4.1</w:t>
      </w:r>
    </w:p>
    <w:p>
      <w:r>
        <w:t>Zur Begründung seines Asylgesuchs brachte der Beschwerdeführer vor, er habe seit 1996 die LTTE unterstützt und sei im Jahre 2002 zum Beitritt gezwungen worden. Er habe eine sechsmonatige Ausbildung erhalten und sich im Jahre 2004 der Karuna-Fraktion an-schliessen müssen. Wegen seiner Herkunft aus B._____ sei er mehrmals zusammengeschlagen und auch sonst wie ein Sklave behandelt worden. Er könne nicht in seinen Heimatstaat zurückkehren, weil er dort von den LTTE, von der Karuna-Gruppe und den srilan-kischen Sicherheitskräften gesucht werde (vgl. Akten BFM A9/20 S. 9 ff.).</w:t>
      </w:r>
    </w:p>
    <w:p>
      <w:r>
        <w:rPr>
          <w:b/>
        </w:rPr>
        <w:t>E. 4.2.1</w:t>
      </w:r>
    </w:p>
    <w:p>
      <w:r>
        <w:t>Nachdem es im März 2004 zum Bruch zwischen LTTE-Führer Prabhakaran und Colonel Karuna gekommen war, flohen Prabhaka-ran-loyale LTTE-Kader in den Norden Sri Lankas und schlossen sich dort der Vanni-Gruppe der LTTE an. Karuna seinerseits ersuchte die srilankische Armee und die norwegische Monitoring Mission um Schutz für seine im Norden stationierten Anhänger. Im April 2004 eroberte die Vanni-Gruppe (LTTE) Batticaloa-Amparai zurück, worauf Colonel Karuna den grössten Teil seiner Streitkräfte auflöste und in den Untergrund ging. Die Karuna-Gruppe unterhielt gemäss den gesicherten Erkenntnissen des Bundesverwaltungsgerichts im Jahre 2006 Ausbildungscamps ausschliesslich in dem von der Regierung kontrollierten Welikanda-Gebiet (Polonnaruwa Distrikt), in Mutugalla, in Madurrangala und in Karopola (vgl. Human Rights Watch, Complicit in Crime Januar 2007, State Collusion in Abductions and Child Recruitment by the Karuna Group, S. 30, www.hrw.org/reports/2007/srilanka0107/, besucht am 27. Oktober 2010). Kokkadichcholai blieb bis zur Eroberung durch die srilankische Armee Ende März 2007 eine der wichtigsten Hochburgen der LTTE im Osten Sri Lankas, weshalb mit Sicherheit davon ausgegangen werden kann, dass die Karuna-Gruppe dort zwischen 2004 und 2007 - entge-gen den Behauptungen des Beschwerdeführers - kein Ausbildungs-lager betrieben hat.</w:t>
      </w:r>
    </w:p>
    <w:p>
      <w:r>
        <w:rPr>
          <w:b/>
        </w:rPr>
        <w:t>E. 4.2.2</w:t>
      </w:r>
    </w:p>
    <w:p>
      <w:r>
        <w:t>Vor diesem Hintergrund sind die Aussagen des Beschwerdeführers bezüglich seines angeblich mehrjährigen Aufenthalts in einem Karuna-Camp in F._____ als offensichtlich tatsachenwidrig zu bezeichnen, und seinen Vorbringen dürfte bereits damit die Grundlage entzogen sein. Im Übrigen kann auf die zutreffenden Erwägungen des BFM im angefochtenen Entscheid verwiesen werden, ohne diese zu wiederholen.</w:t>
      </w:r>
    </w:p>
    <w:p>
      <w:r>
        <w:rPr>
          <w:b/>
        </w:rPr>
        <w:t>E. 4.3</w:t>
      </w:r>
    </w:p>
    <w:p>
      <w:r>
        <w:t>Aufgrund der vorstehenden Erwägungen erübrigt es sich, näher auf die Ausführungen in der Beschwerde einzugehen, weil sie am Ergebnis nichts ändern können. Zusammenfassend ist festzustellen, dass der Beschwerdeführer keine Verfolgung im Sinne von Art. 3 AsylG glaubhaft machen und damit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Das BFM wies in seiner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Das Bundesverwaltungsgericht nahm im Urteil BVGE 2008/2 zur Frage der Zumutbarkeit des Wegweisungsvollzugs abgewiesener Asyl-suchender tamilischer Ethnie nach Sri Lanka eine Lageanalyse vor. Es kam zum Schluss, dass rückkehrende Tamilen, welche längere Zeit im Grossraum Colombo gelebt haben, dort auf ein existierendes, tragfä-higes Familien- oder Beziehungsnetz zurückgreifen und mit einer kon-kreten Unterkunftsmöglichkeit rechnen können. Es ist deshalb davon auszugehen, dass sie grundsätzlich die Möglichkeit haben, sich innert nützlicher Frist und mit Unterstützung von Verwandten wieder zu inte-grieren, und dass ihnen das wirtschaftliche Fortkommen gelingt. Je kürzer der Aufenthalt eines Rückkehrenden in Colombo dauerte und je weiter er zeitlich zurückliegt, desto höhere Anforderungen sind an das Vorliegen eines tatsächlichen familiären oder sozialen Beziehungsnet-zes zu stellen. Bei Tamilen, die aus dem Grossraum Colombo oder dessen Umgebung stammen und dort über Verwandte oder engere Be-kannte verfügen, ist mithin grundsätzlich von der Zumutbarkeit des Wegweisungsvollzuges in diese Gebiete auszugehen (vgl. a.a.O. E. 7.6.1 S. 20). Dagegen stellt sich für Tamilen, die aus den umkämpften Gebieten in der Nord- oder Ostprovinz stammen, die Situation bei einer Rückkehr anders dar. Diesfalls kann nicht mehr von der generellen Zumutbarkeit der Inanspruchnahme einer innerstaatlichen Aufenthaltsalternative im Süden des Landes, namentlich im Grossraum Colombo, ausgegangen werden. Können die Existenz eines tragfähigen Beziehungsnetzes und die konkreten Möglichkeiten der Existenzsicherung und der Wohnsi- tuation nicht als gesichert angenommen werden, ist demnach der Wegweisungsvollzug als unzumutbar zu qualifizieren und in der Folge als Ersatzmassnahme eine vorläufige Aufnahme anzuordnen (vgl. a.a.O. E. 7.6.2 S. 21). Der Beschwerdeführer stammt aus dem Norden Sri Lankas und hat sich vor seiner Ausreise aus dem Heimatstaat le-diglich während zehn Tagen bei einem Bekannten in Colombo aufge-halten. Das Bundesamt hat denn auch im angefochtenen Entscheid zutreffend festgestellt, der Beschwerdeführer habe nie längere Zeit in Colombo gelebt und verfüge dort über kein enges Beziehungsnetz (vgl. Ziff. II 2. S. 5). Sodann ist fraglich, ob und in welchem Umfang sei-ne in Puthukudiruppu beziehungsweise in B._____ lebenden Ver-wandten ihm bei einer Rückkehr die notwendige (finanzielle) Unter-stützung bieten könnten. Damit ist das Vorliegen besonders begünsti-gender Faktoren, insbesondere die Existenz eines tragfähigen famili-ären oder sozialen Beziehungsnetzes und die Aussichten auf eine ge-sicherte Einkommens- und Wohnsituation, vorliegend zu verneinen. Nach dem Gesagten ist das Bestehen einer innerstaatlichen Aufent-haltsalternative zu verneinen, und der Vollzug der Wegweisung des Beschwerdeführers nach Sri Lanka ist damit als unzumutbar zu erach-ten.</w:t>
      </w:r>
    </w:p>
    <w:p>
      <w:r>
        <w:rPr>
          <w:b/>
        </w:rPr>
        <w:t>E. 6.6</w:t>
      </w:r>
    </w:p>
    <w:p>
      <w:r>
        <w:t>Die Beschwerde ist demzufolge hinsichtlich des Vollzugs der Wegweisung gutzuheissen; im Übrigen ist sie abzuweisen. Die Ziffern 4 und 5 des Dispositivs der Verfügung des BFM vom 23. Januar 2008 sind aufzuheben, und das Bundesamt ist anzuweisen, den Beschwer-deführer vorläufig aufzunehmen (vgl. Art. 44 Abs. 2 AsylG und Art. 83 Abs. 4 AuG). Einer vorläufigen Aufnahme stehen im Übrigen auch kei-ne einschränkenden gesetzlichen Tatbestände entgegen (vgl. Art. 83 Abs. 7 AuG).</w:t>
      </w:r>
    </w:p>
    <w:p>
      <w:r>
        <w:rPr>
          <w:b/>
        </w:rPr>
        <w:t>E. 7</w:t>
      </w:r>
    </w:p>
    <w:p>
      <w:r>
        <w:t>Gemäss Art. 65 Abs. 1 VwVG kann eine bedürftige Partei, deren Begehren nicht aussichtslos erscheinen, auf Gesuch hin davon befreit werden, Verfahrenskosten zu bezahlen. Wie sich aus den vorstehen-den Erwägungen ergibt, erschien die Beschwerde nicht als aussichts-los. Gemäss den dem Gericht vorliegenden Informationen ist der Be-schwerdeführer seit längerem erwerbstätig. Es ist vorliegend somit nicht von dessen Bedürftigkeit auszugehen, weshalb das gestellte Ge-such um Gewährung der unentgeltlichen Rechtspflege abzuweisen ist. Nachdem der Beschwerdeführer mit seinen Rechtsbegehren im Asyl-punkt unterlegen ist, hat er die darauf entfallenden, hälftigen Verfah-renskosten von Fr. 300.- zu tragen.</w:t>
      </w:r>
    </w:p>
    <w:p>
      <w:r>
        <w:rPr>
          <w:b/>
        </w:rPr>
        <w:t>E. 8</w:t>
      </w:r>
    </w:p>
    <w:p>
      <w:r>
        <w:t>Gemäss Art. 64 Abs. 1 VwVG kann die Beschwerdeinstanz der teilweise obsiegenden Partei von Amtes wegen oder auf Begehren hin ei-ne Entschädigung für die der Partei erwachsenen notwendigen und verhältnismässig hohen Kosten zusprechen. Das Gericht geht auf-grund der Aktenlage davon aus, dem nicht rechtsvertretenen Be-schwerdeführer seien keine solchen Kosten erwachsen, weshalb vor-liegend auf das Ausrichten einer Parteientschädigung verzichtet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