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E-1169/2012 vom 8. März 2012</w:t>
      </w:r>
    </w:p>
    <w:p>
      <w:r>
        <w:t>Bundesverwaltungsgericht, 2012-03-08, DE</w:t>
      </w:r>
    </w:p>
    <w:p>
      <w:r>
        <w:rPr>
          <w:b/>
        </w:rPr>
        <w:t xml:space="preserve">Quelle: </w:t>
      </w:r>
      <w:r>
        <w:t>https://mcp.opencaselaw.ch/entscheid/bvger_E-1169_2012</w:t>
      </w:r>
    </w:p>
    <w:p>
      <w:r>
        <w:t>FR: TAF E-1169/2012 du 8 mars 2012</w:t>
      </w:r>
    </w:p>
    <w:p>
      <w:r>
        <w:t>IT: TAF E-1169/2012 del 8 marzo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Abs. 2 Bst. a i.V.m. Art. 32 Abs. 3 AsylG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4.2</w:t>
      </w:r>
    </w:p>
    <w:p>
      <w:r>
        <w:t>Dass der Beschwerdeführer innerhalb von 48 Stunden nach Einreichen des Asylgesuchs keine Ausweispapiere abgegeben hat, liegt ausser Streit. Insoweit stützt sich die Vorinstanz zu Recht auf Art. 32 Abs. 2 Bst. a AsylG, was in der Rechtsmitteleingabe nicht in Frage gestellt wird.</w:t>
      </w:r>
    </w:p>
    <w:p>
      <w:r>
        <w:rPr>
          <w:b/>
        </w:rPr>
        <w:t>E. 4.3</w:t>
      </w:r>
    </w:p>
    <w:p>
      <w:r>
        <w:t>Demgegenüber macht der Beschwerdeführer sinngemäss einerseits entschuldbare Gründe im Sinne von Art. 32 Abs. 3 Bst. a AsylG geltend, andererseits bringt er vor, aufgrund der Anhörung und der gesetzlichen Bestimmungen erfülle er die Flüchtlingseigenschaft (Art. 32 Abs. 3 Bst. b). Er macht somit geltend, die Vorinstanz hätte gestützt auf Art. 32 Abs. 3 Bst. a und b AsylG auf das Asylgesuch eintreten müssen.</w:t>
      </w:r>
    </w:p>
    <w:p>
      <w:r>
        <w:rPr>
          <w:b/>
        </w:rPr>
        <w:t>E. 5.1</w:t>
      </w:r>
    </w:p>
    <w:p>
      <w:r>
        <w:t>Gemäss Art. 32 Abs. 3 Bst. a AsylG ist auf Asylgesuche trotz Papierlosigkeit einzutreten, wenn Asylsuchende glaubhaft machen können, dass sie aus entschuldbaren Gründen nicht in der Lage sind, innerhalb von 48 Stunden nach Einreichung des Gesuchs Reise- oder Identitätspapiere abzugeben.</w:t>
      </w:r>
    </w:p>
    <w:p>
      <w:r>
        <w:rPr>
          <w:b/>
        </w:rPr>
        <w:t>E. 5.2</w:t>
      </w:r>
    </w:p>
    <w:p>
      <w:r>
        <w:t>Die Vorinstanz stellt in der angefochtenen Verfügung fest, anlässlich der Erstbefragung habe der Beschwerdeführer ausgesagt, er habe seine Identitätskarte und seinen Reisepass wahrscheinlich zu Hause gelassen. Da seine Familie kein Telefon habe, könne er seine Ausweise nicht nachsenden lassen. Anlässlich der Anhörung habe er demgegenüber zu Protokoll gegeben, er habe seine beiden Ausweise verloren. Dies sei eine offenkundige Schutzbehauptung. Dem Beschwerdeführer wäre es möglich gewesen, Bekannte oder Freunde telefonisch zu kontaktieren, welche seine Familie über sein Anliegen hätten informieren können. Es dränge sich der Schluss auf, dass der Beschwerdeführer dem BFM die Abgabe von rechtsgenüglichen Reise- beziehungsweise Identitätspapieren vorenthalte. Es würden somit keine entschuldbaren Gründe im Sinne von Art. 32 Abs. 3 Bst. a AsylG vorliegen. Dem hält der Beschwerdeführer in der Rechtsmitteleingabe entgegen, er wisse nicht, weshalb er Dokumente verstecken sollte, die er brauche. Damit nimmt er nicht Stellung zu den von der Vorinstanz aufgezeigten unvereinbaren Angaben betreffend seine Ausweise. Sodann ist der Beschwerdeführer entgegen seiner Ansicht nicht auf ein Mobiltelefon oder die Telefonnummer seiner Nachbarn angewiesen, um bei seiner Familie seine Ausweise erhältlich zu machen. Es wäre ihm ohne Weiteres möglich und zumutbar gewesen, mit seinem Anliegen schriftlich an seine Familie zu gelangen. Der Beschwerdeführer hat sich somit in Kenntnis seiner Pflicht zur Abgabe von Ausweispapieren nicht darum bemüht, seine Reise- oder Identitätspapiere zu beschaffen (vgl. BVGE 2010/2 E. 6.3). Die Vorinstanz hat demnach zu Recht geschlossen, es würden keine entschuldbaren Gründe vorliegen.</w:t>
      </w:r>
    </w:p>
    <w:p>
      <w:r>
        <w:rPr>
          <w:b/>
        </w:rPr>
        <w:t>E. 6.1</w:t>
      </w:r>
    </w:p>
    <w:p>
      <w:r>
        <w:t>Gemäss Art. 32 Abs. 3 Bst. b und c AsylG ist auf Asylgesuche trotz Papierlosigkeit einzutreten, wenn auf Grund der Anhörung sowie gestützt auf Art. 3 und 7 AsylG die Flüchtlingseigenschaft festgestellt wird oder wenn sich erweist, dass zusätzliche Abklärungen zur Feststellung der Flüchtlingseigenschaft oder eines Wegweisungsvollzugshindernisses nötig sind.</w:t>
      </w:r>
    </w:p>
    <w:p>
      <w:r>
        <w:rPr>
          <w:b/>
        </w:rPr>
        <w:t>E. 6.2</w:t>
      </w:r>
    </w:p>
    <w:p>
      <w:r>
        <w:t>Die Vorinstanz gelangt in der angefochtenen Verfügung zum Schluss, der Beschwerdeführer erfülle die Flüchtlingseigenschaft nicht. Zur Begründung führt sie aus, beim geltend gemachten gerichtlichen Vorgehen im Zusammenhang mit dessen Schulden handle es sich um legitime Massnahmen. Sodann wäre es dem Beschwerdeführer offen gestanden, den Kreditgeber wegen Drohungen bei den zuständigen Behörden anzuzeigen. Da er dies nicht getan habe, könne dem algerischen Staat diesbezüglich kein Versäumnis vorgeworfen werden. Den Akten seien schliesslich keine Hinweise zu entnehmen, dass der Kreditgeber den Beschwerdeführer in einer durch das Asylgesetz geschützten Eigenschaft habe treffen wollen. Zu diesen Erwägungen nimmt der Beschwerdeführer in der Rechtsmitteleingabe mit keinem Wort Stellung. Er verweist einzig darauf, dass sein Fall in seinem Heimatland keine Ausnahme sei. Damit legt er aber nicht substantiiert dar, inwiefern die Vorinstanz zu Unrecht geschlossen habe, er erfülle die Voraussetzungen der Flüchtlingseigenschaft nicht. Es ist nochmals festzuhalten, dass keine asylrelevante Verfolgung vorliegt, wenn der Kreditgeber mit staatlich legitimen Mitteln versucht, den ihm vertraglich geschuldeten Betrag zurückzuerhalten. Um Wiederholungen zu vermeiden, kann vorliegend vollumfänglich auf die zutreffenden Ausführungen in der angefochtenen Verfügung verwiesen werden. Insgesamt ergibt sich somit, dass die Vorinstanz die Flüchtlingseigenschaft zu Recht verneint und diesbezüglich weitere Abklärungen nicht für notwendig erachtet hat.</w:t>
      </w:r>
    </w:p>
    <w:p>
      <w:r>
        <w:rPr>
          <w:b/>
        </w:rPr>
        <w:t>E. 6.3</w:t>
      </w:r>
    </w:p>
    <w:p>
      <w:r>
        <w:t>Zusammenfassend ist festzustellen, dass die Vorinstanz zu Recht gestützt auf Art. 32 Abs. 2 Bst. a AsylG auf das Asylgesuch des Beschwerdeführers nicht eingetreten ist.</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 des Beschwerdeführers noch aus den Akten ergeben sich überzeugende Anhaltspunkte dafür, dass er für den Fall einer Ausschaffung nach Algerien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Vorliegend ist der Vollzug der Wegweisung nach Algerien zumutbar im Sinne der vorgenannten Bestimmung. Die allgemeine Lage im Algerien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Soweit sich aus den Akten ergibt, handelt es sich beim Beschwerdeführer um einen jungen, gesunden und alleinstehenden Mann, welcher bis zur Ausreise in B._______, C._______, lebte und arbeitete. Seine Eltern und Geschwister leben gemäss seinen Angaben nach wie vor dort. Damit verfügt der Beschwerdeführer in Algerien über ein bestehendes familiäres und soziales Beziehungsnetz, auf welches er bei einer Rückkehr zurückgreifen kann. Indes ist der Beschwerdeführer nicht gehalten, an seinen ehemaligen Wohnort zurückzukehren. Er hat berufliche Erfahrungen als F._______, und es steht ihm offen, bei einer Rückkehr nach Algerien an einem anderen Ort eine neue Existenz aufzubauen. Der Vollzug der Wegweisung ist daher insgesamt als zumutbar zu erachten.</w:t>
      </w:r>
    </w:p>
    <w:p>
      <w:r>
        <w:rPr>
          <w:b/>
        </w:rPr>
        <w:t>E. 8.4</w:t>
      </w:r>
    </w:p>
    <w:p>
      <w:r>
        <w:t>Gemäss Art. 83 Abs. 2 AuG ist der Wegweisungsvollzug schliesslich auch als möglich zu bezeichnen. Es obliegt dem Beschwerdeführer, sich bei der zuständigen Algerischen Vertretung die für eine Rückkehr notwendigen Reisedokumente zu beschaffen (vgl. Art. 8 Abs. 4 AsylG und dazu BVGE 2008/34 E. 12).</w:t>
      </w:r>
    </w:p>
    <w:p>
      <w:r>
        <w:rPr>
          <w:b/>
        </w:rPr>
        <w:t>E. 9</w:t>
      </w:r>
    </w:p>
    <w:p>
      <w:r>
        <w:t>Nach dem Gesagten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