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E-1157/2015 vom 17. März 2015</w:t>
      </w:r>
    </w:p>
    <w:p>
      <w:r>
        <w:t>Bundesverwaltungsgericht, 2015-03-17, DE</w:t>
      </w:r>
    </w:p>
    <w:p>
      <w:r>
        <w:rPr>
          <w:b/>
        </w:rPr>
        <w:t xml:space="preserve">Quelle: </w:t>
      </w:r>
      <w:r>
        <w:t>https://mcp.opencaselaw.ch/entscheid/bvger_E-1157_2015</w:t>
      </w:r>
    </w:p>
    <w:p>
      <w:r>
        <w:t>FR: TAF E-1157/2015 du 17 mars 2015</w:t>
      </w:r>
    </w:p>
    <w:p>
      <w:r>
        <w:t>IT: TAF E-1157/2015 del 17 marzo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Urteil des Bundesverwaltungsgerichts D-3622/2011 vom 8. Oktober 2014 E. 5, zur Publikation vorgesehen).</w:t>
      </w:r>
    </w:p>
    <w:p>
      <w:r>
        <w:rPr>
          <w:b/>
        </w:rPr>
        <w:t>E. 2.2</w:t>
      </w:r>
    </w:p>
    <w:p>
      <w:r>
        <w:t>Das Bundesverwaltungsgericht verzichtet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3.2</w:t>
      </w:r>
    </w:p>
    <w:p>
      <w:r>
        <w:t>Die Vorinstanz hat in tatsächlicher Hinsicht den Massstab des Glaubhaftmachens nicht verkannt und auf den vorliegenden Fall korrekt angewendet. In der angefochtenen Verfügung wird einlässlich begründet, welche der nachgeschobenen beziehungsweise neuen Vorbringen unglaubhaft sind. Die Beschwerde setzt sich kaum damit auseinander. Im Wesentlichen wiederholt der Beschwerdeführer seine Vorbringen oder macht allgemeine Ausführungen und erschöpft sich in Vermutungen. Damit zeigt er nicht auf, inwiefern die Vorinstanz Bundesrecht verletzt oder den Sachverhalt rechtsfehlerhaft festgestellt haben soll, was auch nicht ersichtlich ist. Die bisherigen Gründe bilden hier nicht mehr Gegenstand des Verfahrens. Der Beschwerdeführer sagt in der Erstbefragung seines zweiten Asylgesuchs selber aus, "ich habe die gleichen Gründe vorzubringen wie bei meinem bisherigen Gesuch in der Schweiz" (SEM-Akte, act. C 6/10 S. 7). Was die dann doch noch nachgeschobenen Vorbringen anbelangt, so hat die Vorinstanz richtig erkannt, dass diese keinen höheren Grad an Substantiiertheit aufweisen als die bisherigen Vorbringen. So ist neben vielen anderen Ungereimtheiten nicht nachvollziehbar, weshalb seine Frau, die in Sri Lanka lebt, in den über sechs Jahren nicht ergriffen wurde, wird diese doch - wenn man den Ausführungen des Beschwerdeführers folgen würde - in hohem Masse gesucht. In diesem Zusammenhang ist auch die lange Zeit auffallend, die zwischen der angeblichen Messerattacke auf den Beschwerdeführer und seiner tatsächlichen Ausreise verging. Ein Zeitraum, in dem es merkwürdigerweise nicht gelungen ist, ihn zu ergreifen. Sodann sind in Anbetracht der Tatsache, dass er nie für die LTTE gearbeitet, mit dieser nichts zu tun gehabt hat und auch mit den Behörden nie Probleme gehabt haben will, auch die Suchaktionen nach dem Beschwerdeführer - mit dem angeblichen Ziel, ihn zu ermorden - unglaubhaft. An diesem Beweisergebnis vermögen die eingereichten Beweismittel (Schreiben Ehefrau, Schreiben Mutter, Flugblatt usw.) nichts zu ändern. Der Beschwerdeführer beantragt eine Frist für das Nachreichen von weiteren Beweismitteln aus der Heimat. Diese werden aber mit keinem Wort konkretisiert. Abgesehen davon hatte der Beschwerdeführer, der sich seit 2009 in der Schweiz aufhält, dafür genügend Zeit. Der Beweisantrag ist abzuweisen. Der Beschwerdeführer vermag auch keine subjektiven Nachfluchtgründe glaubhaft zu machen. Die vorgebrachten exilpolitischen Tätigkeiten (Teilnahme an Demonstrationen in der Schweiz) erreichen offensichtlich kein Ausmass, das zu einer Gefährdung im Heimatstaat zu führen vermöchte. Dies umso mehr, als er kein politisches Profil aufweist, nie für die LTTE tätig war und keine Probleme mit den Behörden gehabt hat. Er hat somit nichts vorgebracht, was geeignet wäre, die Flüchtlingseigenschaft nachzuweisen oder zumindest glaubhaft zu machen. Die Vorinstanz hat zu Recht die Flüchtlingseigenschaft verneint und sein Asylgesuch abgelehnt.</w:t>
      </w:r>
    </w:p>
    <w:p>
      <w:r>
        <w:rPr>
          <w:b/>
        </w:rPr>
        <w:t>E. 4</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5.2</w:t>
      </w:r>
    </w:p>
    <w:p>
      <w:r>
        <w:t>Der Vollzug der Wegweisung ist nach Art. 83 Abs. 3 AuG (SR 142.20)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Art. 3 EMRK oder FoK verbotenen Strafe oder Behandlung ausgesetzt wäre. Der Beschwerdeführer weist trotz seiner Zugehörigkeit zur tamilischen Ethnie, Landesabwesenheit, Alter und Herkunft kein Profil auf, um zukünftig staatlichen Verfolgungsmassnahmen ausgesetzt zu sein. Denn seine Aussagen sind unglaubhaft, insbesondere die Suchaktionen und der Verdacht, den LTTE geholfen zu haben. Ausserdem leben seine Frau sowie seine Familienangehörigen seit Jahren vor Ort. Er selbst hat das Land erst lange nach dem Beginn seiner angeblichen Probleme verlassen, ohne tatsächlich ergriffen worden zu sein. Deshalb lässt sich nicht annehmen, der Beschwerdeführer habe Massnahmen zu befürchten, die über einen sogenannten background check (Befragung und Überprüfung von Tätigkeiten im In- und Ausland) hinausgehen. Der Beschwerdeführer begnügt sich im Übrigen damit, auf vergangene Menschrechtsverletzungen im Allgemeinen zu verweisen und der Vorinstanz eine völlige Fehleinschätzung der politischen Lage vorzuwerfen. Es geht jedoch nicht hervor, inwiefern ihm persönlich im Falle einer Rückkehr ein ernsthafter Nachteil drohen könnte. Solches lässt sich auch nicht annehmen, nachdem seine Vorbringen insgesamt unglaubhaft ausgefallen waren. Der Vollzug der Wegweisung ist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Negombo (zur Problematik Vanni-Gebiet und Zumutbarkeit der Wegweisung: BVGE 2011/24 E. 12-13). Seine Herkunft aus Negombo ist mit der eingereichten Identitätskarte belegt. Es kann davon ausgegangen werden, dass er auch die Möglichkeit hat, sich in seiner Heimat Negombo oder beispielsweise in Colombo - wo er auch bereits unterkam - niederzulassen. Im Übrigen handelt es sich in der Person des Beschwerdeführers um einen jungen Mann in bestem Arbeitsalter, der in der Schweiz Arbeitserfahrung in einem Hotel gesammelt und in Sri Lanka sein eigenes Unternehmen geführt hat. Sodann hat er ein Beziehungsnetz und Familie in Sri Lanka. Daran ändert der Hinweis, er sei bereits gut fünf Jahre in der Schweiz, nichts, im Gegenteil, weiss er doch seit Januar 2012 und spätestens nach Abschluss des Beschwerdeverfahrens vom 8. Mai 2012, dass er verpflichtet ist, die Schweiz zu verlassen. Der Vollzug der Wegweisung ist zumutbar.</w:t>
      </w:r>
    </w:p>
    <w:p>
      <w:r>
        <w:rPr>
          <w:b/>
        </w:rPr>
        <w:t>E. 5.4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5.5</w:t>
      </w:r>
    </w:p>
    <w:p>
      <w:r>
        <w:t>Zusammenfassend hat die Vorinstanz den Vollzug der Wegweisung zutreffend als zulässig, zumutbar und möglich bezeichnet, womit die Anordnung einer vorläufigen Aufnahme ausser Betracht fällt (Art. 83 Abs. 1 AuG).</w:t>
      </w:r>
    </w:p>
    <w:p>
      <w:r>
        <w:rPr>
          <w:b/>
        </w:rPr>
        <w:t>E. 6</w:t>
      </w:r>
    </w:p>
    <w:p>
      <w:r>
        <w:t>Aus diesen Erwägungen ergibt sich, dass die angefochtene Verfügung Bundesrecht nicht verletzt und auch sonst nicht zu beanstanden ist (Art. 106 AsylG und Art. 49 VwVG).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