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E-1156/2008 vom 28. Oktober 2009</w:t>
      </w:r>
    </w:p>
    <w:p>
      <w:r>
        <w:t>Bundesverwaltungsgericht, 2009-10-28, DE</w:t>
      </w:r>
    </w:p>
    <w:p>
      <w:r>
        <w:rPr>
          <w:b/>
        </w:rPr>
        <w:t xml:space="preserve">Quelle: </w:t>
      </w:r>
      <w:r>
        <w:t>https://mcp.opencaselaw.ch/entscheid/bvger_E-1156_2008</w:t>
      </w:r>
    </w:p>
    <w:p>
      <w:r>
        <w:t>FR: TAF E-1156/2008 du 28 octobre 2009</w:t>
      </w:r>
    </w:p>
    <w:p>
      <w:r>
        <w:t>IT: TAF E-1156/2008 del 28 ottobre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112 Abs. 1 des Bundesgesetzes vom 16. Dezember 2005 über die Ausländerinnen und Ausländer (AuG, SR 142.20)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Am 1. Januar 2008 trat das AuG in Kraft und gleichzeitig wurde das Bundesgesetz vom 26. März 1931 über Aufenthalt und Niederlassung der Ausländer (ANAG, BS 1 121) aufgehoben. Gemäss Art. 126a Abs. 4 AuG gilt - unter Vorbehalt der Absätze 5-7 - für Personen, die im Zeitpunkt des Inkrafttretens der am 16. Dezember 2005 beschlossenen Änderung des Asylgesetzes sowie des AuG vorläufig aufgenommen sind, neues Recht. Der Beschwerdeführer wurde vom BFM mit Verfügung vom 1. November 2005 gestützt auf Art. 44 Abs. 2 des Asyl-gesetzes vom 26. Juni 1998 (AsylG, SR 142.31) i.V.m. Art. 14a Abs. 4 ANAG vorläufig aufgenommen. Aufgrund der genannten übergangsrechtlichen Regelung ist jedoch das Vorliegen der Voraussetzungen für die Aufhebung der vorläufigen Aufnahme nach neuem Recht, mithin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(Art. 83 Abs. 2 AuG) ist, sich rechtmässig in ihren Heimat-, in den Herkunftsstaat oder in einen Drittstaat zu begeben.</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der Grundsatz der Nichtrückschiebung nur Personen schützt, die die Flüchtlingseigenschaft erfüllen. Da das Bundesamt mit Verfügung vom 1. November 2005 rechtskräftig festgestellt hat, dass der Beschwerdeführer die Flüchtlingseigenschaft nicht erfüllt, kann das in Art. 5 AsylG verankerte Prinzip des flüchtlingsrechtlichen Non-Refoulements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124 - 127, mit weiteren Hinweisen). Auch die allgemeine Menschenrechtssituation im Nordirak lässt den Wegweisungsvollzug zum heutigen Zeitpunkt klarerweise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dortige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Auf diese allgemeine Lageeinschätzung kann entgegen der Auffassung des Beschwerdeführers nicht nur für die im zitierten Urteil zu beurteilende Frage der Gewährung der vorläufigen Aufnahme sondern auch bei der Prüfung der Aufhebung einer solchen abgestützt werden. In Anbetracht dieser Ausgangslage ist der Antrag des Beschwerdeführers auf Abklärung der aktuellen Praxis anderer europäischer Staaten betreffend die Wegweisung nordirakischer Asylsuchender abzuweisen.</w:t>
      </w:r>
    </w:p>
    <w:p>
      <w:r>
        <w:rPr>
          <w:b/>
        </w:rPr>
        <w:t>E. 5.3.3</w:t>
      </w:r>
    </w:p>
    <w:p>
      <w:r>
        <w:t>Aus den Akten und den Angaben des Beschwerdeführers ergeben sich keine hinreichend konkreten Anhaltspunkte, die darauf schliessen liessen, der alleinstehende, heute (...)-jährige Beschwerdeführer gerate im Falle der Rückkehr in die nordirakische Provinz Suleimaniya aus individuellen Gründen wirtschaftlicher, sozialer oder gesundheitlicher Natur in eine existenzbedrohende Situation. Gemäss den vom Beschwerdeführer anlässlich des Asylverfahrens zu Protokoll gegebenen Ausführungen hat er von (...) bis zur Ausreise im Jahre 2003 in B._______ gelebt und dort als (...) gearbeitet. Der Beschwerdeführer hat zwar glaubhaft dargetan, dass seine nächsten Familienangehörigen (...) nicht mehr im Nordirak leben. Seinen Ausführungen im erstinstanzlichen Asylverfahren kann aber entnommen werden, dass er in B._______ über einen Onkel und einen Cousin verfügt, welche ihm bei der Flucht behilflich waren (A 8/21 S. 5 und 13 f.). Zudem kann in Übereinstimmung mit der Vorinstanz davon ausgegangen werden, dass er durch seine langjährige berufliche Tätigkeit als (...) an diesem Ort ein Beziehungsnetz aufgebaut hat, auf welches er sich bei der Wiedereingliederung stützen kann. Sodann dürfte ihm das Rückkehrhilfeprogramm der Schweiz den Wiedereinstieg ins Berufsleben ebenfalls erleichtern. In diesem Zusammenhang ist darauf hinzuweisen, dass soziale und wirtschaftliche Schwierigkeiten, wie namentlich der Mangel an Wohnungen und Arbeitsstellen, nach der weiterhin gültigen Rechtsprechung der ARK keine existenzbedrohende Situation darstellen, welche den Vollzug der Wegweisung in den Heimatstaat als unzumutbar erscheinen lassen (EMARK 1994 Nr. 19 E. 6b S. 149). Im Übrigen lässt sich auch aus der zeitweisen türkischen Militärpräsenz im Grenzgebiet, welche die Aktivitäten der dortigen PKK-Kämpfer und nicht die nordirakischen Kurden im Visier hat, keine konkrete Gefährdung des Beschwerdeführers ableiten.</w:t>
      </w:r>
    </w:p>
    <w:p>
      <w:r>
        <w:rPr>
          <w:b/>
        </w:rPr>
        <w:t>E. 5.3.4</w:t>
      </w:r>
    </w:p>
    <w:p>
      <w:r>
        <w:t>Gestützt auf die vorstehenden Erwägungen ist der Vollzug der Wegweisung im heutigen Zeitpunkt sowohl in genereller als auch in individueller Hinsicht als zumutbar zu erachten.</w:t>
      </w:r>
    </w:p>
    <w:p>
      <w:r>
        <w:rPr>
          <w:b/>
        </w:rPr>
        <w:t>E. 5.4</w:t>
      </w:r>
    </w:p>
    <w:p>
      <w:r>
        <w:t>Schliesslich liegen die für für eine Rückkehr des Beschwerdeführer in den Heimatstaat notwendigen Reisedokumente vor, weshalb der Vollzug der Wegweisung auch als möglich zu bezeichnen ist (Art. 83 Abs. 2 AuG).</w:t>
      </w:r>
    </w:p>
    <w:p>
      <w:r>
        <w:rPr>
          <w:b/>
        </w:rPr>
        <w:t>E. 6</w:t>
      </w:r>
    </w:p>
    <w:p>
      <w:r>
        <w:t>Insgesamt ist die durch die Vorinstanz verfügte Aufhebung der vorläufigen Aufnahme zu bestätigen. Die Vorinstanz hat den Vollzug der Wegweisung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112 Abs. 1 AuG i.V.m. Art. 49 VwVG). Die Beschwerde ist nach dem Gesagten abzuweisen.</w:t>
      </w:r>
    </w:p>
    <w:p>
      <w:r>
        <w:rPr>
          <w:b/>
        </w:rPr>
        <w:t>E. 8</w:t>
      </w:r>
    </w:p>
    <w:p>
      <w:r>
        <w:t>Bei diesem Ausgang des Verfahrens sind die Kosten dem Beschwerdeführer aufzuerlegen (Art. 63 Abs. 1 und 5 VwVG). Sie werden auf insgesamt Fr. 600.- festgesetzt (Art. 1-3 des Reglements vom 21. Februar 2008 über die Kosten und Entschädigungen vor dem Bundesverwaltungsgericht [VGKE, SR 173.320.2]) und mit dem in gleicher Höhe einbezahlten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