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E-1153/2020 vom 11. Mai 2020</w:t>
      </w:r>
    </w:p>
    <w:p>
      <w:r>
        <w:t>Bundesverwaltungsgericht, 2020-05-11, DE</w:t>
      </w:r>
    </w:p>
    <w:p>
      <w:r>
        <w:rPr>
          <w:b/>
        </w:rPr>
        <w:t xml:space="preserve">Quelle: </w:t>
      </w:r>
      <w:r>
        <w:t>https://mcp.opencaselaw.ch/entscheid/bvger_E-1153_2020</w:t>
      </w:r>
    </w:p>
    <w:p>
      <w:r>
        <w:t>FR: TAF E-1153/2020 du 11 mai 2020</w:t>
      </w:r>
    </w:p>
    <w:p>
      <w:r>
        <w:t>IT: TAF E-1153/2020 del 11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Zunächst ist auf die formellen Rügen des Beschwerdeführers einzugehen, da diese bei berechtigtem Vorbringen zur Kassation der angefochtenen Verfügung führen würden.</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5.3</w:t>
      </w:r>
    </w:p>
    <w:p>
      <w:r>
        <w:t>Der Beschwerdeführer macht geltend, die Vorinstanz habe den Untersuchungsgrundsatz nach Art. 12 VwVG verletzt. Indes unterlässt er es, diese Rüge zu substantiieren. Insbesondere legt er nicht dar, welche zusätzlichen Abklärungen die Vorinstanz hätte vornehmen müssen. Eine Verletzung des Untersuchungsgrundsatzes liegt nicht vor. Die Rüge ist unbegründet.</w:t>
      </w:r>
    </w:p>
    <w:p>
      <w:r>
        <w:rPr>
          <w:b/>
        </w:rPr>
        <w:t>E. 5.4</w:t>
      </w:r>
    </w:p>
    <w:p>
      <w:r>
        <w:t>Der Beschwerdeführer bringt weiter vor, die Vorinstanz habe die Begründungspflicht verletzt. Aus den Erwägungen der Vorinstanz gehe nicht hervor, ob die Festnahme sowie die Misshandlungen als glaubhaft angesehen werden.</w:t>
      </w:r>
    </w:p>
    <w:p>
      <w:r>
        <w:rPr>
          <w:b/>
        </w:rPr>
        <w:t>E. 5.5</w:t>
      </w:r>
    </w:p>
    <w:p>
      <w:r>
        <w:t>Die Begründungspflicht, welche sich aus dem Anspruch auf rechtliches Gehör (Art. 29 VwVG)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 Aufl. 2019, N. 6 ff. zu Art. 35; BVGE 2007/30 E. 5.6). Wie sich der angefochtenen Verfügung entnehmen lässt, hat die Vorinstanz einlässlich dargelegt, weshalb sie die Vorbringen des Beschwerdeführers als unglaubhaft erachtet. So hat sie festgehalten, dass die Ausführungen des Beschwerdeführers stereotyp und konstruiert wirken würden und unter anderem beispielhaft dargelegt, weshalb sie das Verfolgungsinteresse des CID als Grundlage der Verfolgung als unglaubhaft erachte, und es nicht nachvollziehbar erscheine, dass er bei geltend gemachter staatlicher Verfolgung bei der Regierung arbeiten möchte. Eine sachgerechte Anfechtung der vorinstanzlichen Verfügung war demnach möglich. Die Rüge geht ebenfalls fehl.</w:t>
      </w:r>
    </w:p>
    <w:p>
      <w:r>
        <w:rPr>
          <w:b/>
        </w:rPr>
        <w:t>E. 5.6</w:t>
      </w:r>
    </w:p>
    <w:p>
      <w:r>
        <w:t>Insgesamt erweisen sich die formellen Rügen als unbegründet. Für eine Rückweisung der Sache an die Vorinstanz besteht keine Veranlassung. Der entsprechende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 in der angefochtenen Verfügung zunächst zum Schluss, die Vorbringen des Beschwerdeführers hielten den Anforderungen an das Glaubhaftmachen gemäss Art. 7 AsylG nicht stand. Seine Ausführungen seien stereotyp ausgefallen und wirkten konstruiert. Beispielsweise seien die Gründe unwahrscheinlich, weshalb das CID ihn suchen soll. Die Aktivitäten für die Jugendorganisation würden ihm kein politisches Profil verleihen, welches die Aufmerksamkeit der Behörden auf ihn lenken würde. Er habe angegeben, ein einfacher Teilnehmer an Kundgebungen gewesen zu sein und wegen seines jungen Alters keine Verantwortung oder spezielle Funktion innerhalb dieser Organisation gehabt zu haben. Die Aktivitäten im Zusammenhang mit den LTTE würden ebenfalls unerheblich erscheinen. Er habe gesagt, er habe beim Sammeln von Geld und Nahrungsmitteln für die Opferfamilien des Krieges geholfen. Selbst sei er nie Mitglied der LTTE gewesen und habe sich auch während des Krieges nicht für sie betätigt. Weiter sei angesichts der behördlichen Suche nach ihm überraschend, dass er im Jahr 2017 ein (...) Praktikum beim (...) absolviert habe. Nicht nachvollziehbar sei sodann, dass das CID bis im Jahr 2014 gewartet haben soll, um ihn betreffend die Aktivitäten für die Jugendorganisation im Jahr 2013 zu befragen. Erstaunlich sei auch, dass die Behörden ihn nach zwei Tagen freigelassen hätten. Wenn die Behörden ihn tatsächlich als Gefahr angesehen hätten, hätten sie ihn nicht bloss wegen der Intervention des (...) gehen lassen. Zudem habe er nicht erklären können, wie der (...) von der Verhaftung erfahren habe und seine Freilassung habe bewerkstelligen können. Schliesslich habe er anlässlich der Befragungen widersprüchliche Angaben dazu gemacht, wie lange ihn die Armee am (...) 2015 festgehalten habe.</w:t>
      </w:r>
    </w:p>
    <w:p>
      <w:r>
        <w:rPr>
          <w:b/>
        </w:rPr>
        <w:t>E. 7.2</w:t>
      </w:r>
    </w:p>
    <w:p>
      <w:r>
        <w:t>Weiter hält die Vorinstanz fest, es bestehe kein begründeter Anlass zur Annahme, der Beschwerdeführer sei bei einer Rückkehr nach Sri Lanka mit beachtlicher Wahrscheinlichkeit und in absehbarer Zukunft asylrelevanten Verfolgungsmassnahmen ausgesetzt. Es gelte zu prüfen, ob er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Der Beschwerdeführer habe nicht glaubhaft gemacht, vor der Ausreise asylrelevanten Verfolgungsmassnahmen ausgesetzt gewesen zu sein. Er habe bis (...) 2017 in Sri Lanka gelebt, mithin noch acht Jahre seit Kriegsende. Allfällige, im Zeitpunkt der Ausreise bestehende Risikofaktoren hätten folglich kein Verfolgungsinteresse der sri-lankischen Behörden auszulösen vermocht. Aufgrund der Aktenlage sei nicht ersichtlich, weshalb er bei einer Rückkehr in Sri Lanka in asylrelevanter Weise verfolgt werden sollte.</w:t>
      </w:r>
    </w:p>
    <w:p>
      <w:r>
        <w:rPr>
          <w:b/>
        </w:rPr>
        <w:t>E. 7.3</w:t>
      </w:r>
    </w:p>
    <w:p>
      <w:r>
        <w:t>Auch die am 16. November 2019 erfolgte Präsidentschaftswahl mit dem Sieg von Gotabaya Rajapakse könne diese Einschätzung nicht umstossen. Dieser sei der Bruder von Mahinda Rajapaksa, welcher von 2005 bis 2015 Präsident von Sri Lanka gewesen sei. Unter ihm sei Gotabaya Rajapaksa Sekretär im Verteidigungsministerium und faktisch für die Kriegsführung im Bürgerkrieg gegen die LTTE verantwortlich gewesen. Gotabaya Rajapaksa würden Kriegsverbrechen vorgeworfen. Fünf Tage nach der Wahl zum Präsidenten habe dieser seinen Bruder Mahinda Rajapaksa interimistisch zum Premierminister ernannt. Am 19. August 2019 sei bereits General Shavendra Silva, welchem ebenfalls Kriegsverbrechen angelastet würden, zum Armeechef ernannt worden. Mit der Wahl von Gotabaya Rajapaksa zum Präsidenten sowie ersten Anzeichen zunehmender Überwachungsaktivitäten gingen Befürchtungen von mehr Repression und Überwachung von Menschenrechtsaktivisten, Journalisten, Oppositionellen, Regierungskritikern und Minderheiten einher. Dennoch bestehe aktuell kein Anlass zur Annahme, ganze Volksgruppen seien kollektiv einer Verfolgungsgefahr ausgesetzt. Es gebe keine Berichte über asylrelevante Verfolgungsmassnahmen gegenüber den genannten Personengruppen nach den Wahlen.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8.1</w:t>
      </w:r>
    </w:p>
    <w:p>
      <w:r>
        <w:t>Der Beschwerdeführer macht in der Rechtsmitteleingabe geltend, die Vorinstanz gehe zu Unrecht von der Unglaubhaftigkeit aus. Damit rügt er sinngemäss eine Verletzung von Art. 7 AsylG. Die Argumentation sei einseitig ausgefallen. Sodann habe er bei der BzP nicht gesagt, die Armeeangehörigen hätten ihn am (...) 2015 am Abend aus dem Auto gestossen. Die Vorinstanz habe ihn anlässlich der Anhörung nicht auf den Widerspruch betreffend die Dauer des Festhaltens angesprochen. Zudem komme den Aussagen der BzP nur ein beschränkter Beweiswert zu. Zwischen dieser Unstimmigkeit würden zweieinhalb Jahre liegen. Mit der Zeit entstünden Erinnerungslücken. Seine Schilderungen seien detailliert gewesen.</w:t>
      </w:r>
    </w:p>
    <w:p>
      <w:r>
        <w:rPr>
          <w:b/>
        </w:rPr>
        <w:t>E. 8.2</w:t>
      </w:r>
    </w:p>
    <w:p>
      <w:r>
        <w:t>Dem Beschwerdeführer gelingt es mit seinen Ausführungen in der Rechtsmitteleingabe nicht, den vorinstanzlichen Erwägungen etwas Stichhaltiges entgegenzuhalten, mithin eine Bundesrechtsverletzung darzulegen. Inwiefern die Argumentation der Vorinstanz einseitig ausgefallen sein soll, begründet der Beschwerdeführer nicht. Namentlich führt er nicht aus, welche wesentlichen Aspekte die Vorinstanz ausser Acht gelassen haben soll, die für die Glaubhaftigkeit seiner Vorbringen sprechen. Im Weiteren hat er anlässlich der BzP die Richtigkeit der Aussage, wonach die Armeeangehörigen ihn am Morgen mitgenommen und am Abend freigelassen hätten, unterschriftlich bestätigt (vgl. SEM-Akte A5/11 Ziff. 7.01). Insofern kann er sich nicht darauf berufen, er habe sich nicht entsprechend geäussert. Wie die Vorinstanz zutreffend festhielt, widerspricht diese Aussage der Angabe anlässlich der Anhörung, wonach die Militärangehörigen ihn insgesamt 15 bis 20 Minuten festgehalten hätten (vgl. SEM-Akte A13/18 F82 ff.). Hierbei handelt es sich um einen wesentlichen Widerspruch, der auch nicht mit der Zeit entstehenden Erinnerungslücken zu erklären ist, zumal es sich bei diesem Vorbringen um ein zentrales Element der Asylgründe des Beschwerdeführers handelt. Auch wenn die BzP lediglich summarischen Charakter aufweist, können grundlegende Widersprüche zur Anhörung der asylsuchenden Person vorgehalten werden (vgl. Entscheidung und Mitteilungen der Schweizerischen Asylrekurskommission [EMARK] 2005 Nr. 7 E. 6.2.1 S. 66). Die Vorinstanz war zudem nicht verpflichtet, den Beschwerdeführer auf diese Unstimmigkeit anzusprechen. Er hatte die Möglichkeit, auf Beschwerdeebene dazu Stellung zu nehmen, und diese auch genutzt. Im Weiteren setzt sich der Beschwerdeführer nicht mit den vorinstanzlichen Erwägungen auseinander, namentlich hält er den Erwägungen der Vorinstanz zum politischen Profil, zum Praktikum bei der Regierung sowie zu den Umständen der Freilassung nichts entgegen. Insgesamt fällt auf, dass die Schilderungen des Beschwerdeführers im Zusammenhang mit der Festnahme durch das CID, der Mitnahme durch die Armeeangehörigen sowie die behördliche Suche nach ihm substanzlos, undifferenziert, ausweichend und insgesamt unglaubhaft ausgefallen sind (vgl. SEM-Akte A13/18 F64 ff., F76 ff., F82 ff., F94, F96 ff.). Darüber hinaus hat er vom anlässlich der BzP erwähnten verschwundenen Freund an der Anhörung nichts mehr berichtet (vgl. SEM-Akte A5/11 Ziff. 7.01). Um Wiederholungen zu vermeiden, kann im Übrigen auf die vorinstanzliche Verfügung verwiesen werden.</w:t>
      </w:r>
    </w:p>
    <w:p>
      <w:r>
        <w:rPr>
          <w:b/>
        </w:rPr>
        <w:t>E. 8.3</w:t>
      </w:r>
    </w:p>
    <w:p>
      <w:r>
        <w:t>Ferner ist vor dem Hintergrund der unglaubhaften Ausreisegründe des Beschwerdeführers nicht von einem Risikoprofil im Sinne des Referenzurteils des Bundesverwaltungsgerichts E-1866/2015 vom 15. Juli 2016 auszugehen. Betreffend die Entwicklungen der allgemeinen politischen Lage in Sri Lanka ist festzustellen, dass nicht erkennbar ist, wie sich diese zum heutigen Zeitpunkt auf den Beschwerdeführer auswirken könnten. Diesbezüglich kann auf die zutreffenden Erwägungen in der angefochtenen Verfügung verwiesen werden.</w:t>
      </w:r>
    </w:p>
    <w:p>
      <w:r>
        <w:rPr>
          <w:b/>
        </w:rPr>
        <w:t>E. 8.4</w:t>
      </w:r>
    </w:p>
    <w:p>
      <w:r>
        <w:t>Zusammenfassend ist es dem Beschwerdeführer nicht gelungen, die Flüchtlingseigenschaft nachzuweisen oder glaubhaft zu machen. Die Vorinstanz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10.4.2</w:t>
      </w:r>
    </w:p>
    <w:p>
      <w:r>
        <w:t>Vorliegend sprechen auch keine individuellen Gründe gegen die Zumutbarkeit des Wegweisungsvollzugs. Der Beschwerdeführer stammt aus B._______, Ostprovinz, wohin der Vollzug gemäss vorstehender Rechtsprechung grundsätzlich zumutbar ist. Der Beschwerdeführer ist jung und soweit aktenkundig gesund (vgl. SEM-Akte A5/11 Ziff. 8.02 sowie A13/18 F4). Zudem verfügt er über ein familiäres Umfeld in Sri Lanka (vgl. SEM-Akte A5/11 Ziff. 3.01). Er hat das A-Level sowie eine (...)ausbildung absolviert (vgl. SEM-Akte A5/11 Ziff. 1.17.04). Gemäss seinen Angaben gehört seine Familie zur Mittelklasse (vgl. SEM-Akte A13/18 F27). Es ist somit nicht davon auszugehen, dass der Beschwerdeführer bei einer Rückkehr nach Sri Lanka in eine existentielle Notlage geraten wird. Der Vollzug der Wegweisung ist zumutbar.</w:t>
      </w:r>
    </w:p>
    <w:p>
      <w:r>
        <w:rPr>
          <w:b/>
        </w:rPr>
        <w:t>E. 10.5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EMARK 1995 Nr. 14 E. 8d und e sowie das Urteil des BVGer D-4796/2019 vom 27. April 2020 E. 8.9 m.w.H.).</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26. März 2020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