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E-1150/2020 vom 2. Juni 2020</w:t>
      </w:r>
    </w:p>
    <w:p>
      <w:r>
        <w:t>Bundesverwaltungsgericht, 2020-06-02, DE</w:t>
      </w:r>
    </w:p>
    <w:p>
      <w:r>
        <w:rPr>
          <w:b/>
        </w:rPr>
        <w:t xml:space="preserve">Quelle: </w:t>
      </w:r>
      <w:r>
        <w:t>https://mcp.opencaselaw.ch/entscheid/bvger_E-1150_2020</w:t>
      </w:r>
    </w:p>
    <w:p>
      <w:r>
        <w:t>FR: TAF E-1150/2020 du 2 juin 2020</w:t>
      </w:r>
    </w:p>
    <w:p>
      <w:r>
        <w:t>IT: TAF E-1150/2020 del 2 giugno 2020</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stellt den Antrag, die Verfügung der Vorinstanz sei aufzuheben und zur ergänzenden Sachverhaltsfeststellung und zur gemeinsamen Beurteilung mit dem Verfahren von E._______ an die Vorrinstanz zurückzuweisen. Grundsätzlich bildet jeder vorinstanzliche Entscheid ein selbständiges Anfechtungsobjekt. Die Anfechtung in einer gemeinsamen Beschwerdeschrift und ein gemeinsames Beschwerdeverfahren mit einem einzigen Urteil ist indes zuzulassen, wenn die einzelnen Sachverhalte in einem engen inhaltlichen Zusammenhang stehen und sich ähnliche Rechtsfragen stellen (André Moser/Michael Beusch/Lorenz Kneubühler, Prozessieren vor dem Bundesverwaltungsgericht, 2. Aufl. 2013, Rz. 3.17). Diese Voraussetzungen sind nicht erfüllt. Die Beschwerdeführerin und E._______ haben unterschiedliche Fluchtgründe und sind auch nicht zusammen aus der Türkei geflohen. Demzufolge besteht keine Veranlassung, die Sache zur gemeinsamen Beurteilung an die Vorinstanz zurückzuweisen. Ihr Antrag ist abzuweisen.</w:t>
      </w:r>
    </w:p>
    <w:p>
      <w:r>
        <w:rPr>
          <w:b/>
        </w:rPr>
        <w:t>E. 3.2</w:t>
      </w:r>
    </w:p>
    <w:p>
      <w:r>
        <w:t>Weiter stellt die Beschwerdeführerin den Antrag, sofern die Verfügung der Vorinstanz nicht aufgehoben und zur ergänzenden Sachverhaltsfeststellung und gemeinsamen Beurteilung an die Vorinstanz zurückgewiesen werde, sei das Beschwerdeverfahren bis zum Entscheid der Vorinstanz betreffend E._______ zu sistieren. Derzeit liegen keine Unterlagen - ausser den Aussagen der Beschwerdeführerin - vor, welche die geschilderte (religiös geschlossene) Ehe mit E._______ belegen. Sie leben erst seit kurzer Zeit zusammen, weshalb die Voraussetzungen für ein eheähnliches Konkubinat nicht erfüllt sind. Insbesondere der Wegweisungsvollzug ist somit einzeln zu prüfen, da kein Verstoss gegen das geschützte Familienleben gemäss EMRK 8 vorliegt. Daran ändert auch das Ehevorbereitungsverfahren nichts. Folglich besteht kein Grund, das Verfahren zu sistieren. Ihr Antrag ist abzuweisen.</w:t>
      </w:r>
    </w:p>
    <w:p>
      <w:r>
        <w:rPr>
          <w:b/>
        </w:rPr>
        <w:t>E. 3.3</w:t>
      </w:r>
    </w:p>
    <w:p>
      <w:r>
        <w:t>Da der Beschwerde von Gesetzes wegen aufschiebende Wirkung zukommt (Art. 55 Abs. 1 VwVG) und die Vorinstanz diese nicht entzogen hat, ist der Antrag, der Kanton Bern sei anzuweisen, bis zum Entscheid über die vorliegende Beschwerde auf jegliche Vollzugsmassnahmen zu verzichten, mangels Rechtsschutzinteresses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die Angaben der Beschwerdeführerin, sie sei Misshandlungen seitens ihres Vaters ausgesetzt gewesen und ihr Vater sei gegen die Verlobung mit E._______ gewesen, weshalb er diese wieder aufgelöst habe, seien nicht glaubhaft. Sie habe sich nach der Einreise in der Schweiz bis zum 1. Oktober 2019 unangemeldet am Wohnort von E._______ aufgehalten und in dieser Zeit religiös geheiratet. Dies lasse den Schluss zu, dass sie einzig für die Heirat in die Schweiz gekommen sei, was ihre Schutzbedürftigkeit unglaubhaft erscheinen lasse. Ihre Vorbringen, aufgrund der religiösen Heirat mit E._______ befürchte sie bei einer Rückkehr in die Türkei Übergriffe seitens der Grossfamilie und insbesondere seitens ihres Vaters, da er sie seit ihrer Kindheit geschlagen habe, seien nicht asylrelevant.</w:t>
      </w:r>
    </w:p>
    <w:p>
      <w:r>
        <w:rPr>
          <w:b/>
        </w:rPr>
        <w:t>E. 5.2</w:t>
      </w:r>
    </w:p>
    <w:p>
      <w:r>
        <w:t>Die Beschwerdeführerin macht geltend, es sei nicht gerechtfertigt, ihre Fluchtgründe beziehungsweise ihre Einreisegründe in die Schweiz einzig auf die geplante Eheschliessung zu reduzieren. Im Vordergrund würden häusliche Gewalt sowie die Unterdrückung durch patriarchale Familienstrukturen, insbesondere die zunehmende Gewaltanwendung durch ihren Vater, stehen. Um den frauenspezifischen Fluchtgründen Rechnung tragen zu können, müsse der erwähnte Gesamtkontext in die Gesuchsprüfung miteinbezogen werden. Sie habe die durch ihren Vater erlebte Gewalt ausführlich geschildert. Sie stamme aus einer Region im Südosten der Türkei, in welcher in den letzten Jahren gemäss jüngster Medienberichterstattung die Anzahl bekannter Fälle der Ehrenmorde auf ein paar Hundert pro Jahr angestiegen sei.</w:t>
      </w:r>
    </w:p>
    <w:p>
      <w:r>
        <w:rPr>
          <w:b/>
        </w:rPr>
        <w:t>E. 5.3</w:t>
      </w:r>
    </w:p>
    <w:p>
      <w:r>
        <w:t>Die Vorinstanz ist in ihren Erwägungen zur zutreffenden Erkenntnis gelangt, die Vorbringen der Beschwerdeführerin seien unglaubhaft. Es bestehen grundlegende Widersprüche und Ungereimtheiten in ihren Angaben. In der Erstbefragung erklärte die Beschwerdeführerin, sie wisse nicht, weshalb ihr Vater gegen die Verlobung gewesen sei. Anlässlich der Anhörung war es ihr hingegen möglich, detaillierte Aussagen hierzu zu machen. Weiter gab sie anlässlich der Anhörung an, die Onkel väterlicherseits hätten sie bei ihrer Verlobung unterstützt. Sie erklärte explizit, wenn die Familienoberhäupter sich etwas vorgenommen hätten, sei nicht mehr darüber gesprochen worden, weshalb sich der Vater mit der Entscheidung habe abfinden müssen. Insofern ist nicht nachvollziehbar, dass der Vater die Verlobung eigenmächtig wieder habe auflösen können, ohne dass sich die Familienoberhäupter eingemischt hätten. Widersprüchlich ist zudem, dass der Vater einerseits die Verlobung aufgelöst habe und andererseits moniere, die Auflösung der Verlobung habe die Familienehre verletzt. Bei ihren Angaben zu den Schlägen durch ihren Vater sind weitere Ungereimtheiten zu verzeichnen. So gab sie in der Erstbefragung an, die Schläge hätten nach der Auflösung der Verlobung zugenommen, anlässlich der Anhörung hielt sie fest, sie hätten abgenommen. In der Erstbefragung gab sie ausdrücklich zu Protokoll, dass sie zum Heiraten in die Schweiz gereist sei. Auf die einleitende Frage anlässlich der Anhörung, warum sie in der Schweiz um Asyl ersucht habe, erklärte sie ebenfalls, sie sei wegen ihres Ehemannes in die Schweiz gekommen. Im Übrigen ist hinsichtlich ihrer weiteren Angaben zu den Misshandlungen durch ihren Vater, zur Auflösung der Verlobung und zur Tatsache, dass sie kurz nach ihrer Einreise in der Schweiz geheiratet hat und erst danach ein Asylgesuch gestellt hat, auf die ausführliche Begründung in der vorinstanzlichen Verfügung zu verweisen. In der Rechtsmitteleingabe unterlässt es die Beschwerdeführerin, die von der Vorinstanz minutiös dargelegten Widersprüche aufzulösen und zu erklären. Wenn sie lediglich aussagepsychologische Literatur zitiert, geht sie damit auf keinen einzelnen der seitens der Vorinstanz aufgeführten Widersprüche ein. Damit erübrigt es sich, die Vorbringen auf ihre Asylrelevanz zu prüfen.</w:t>
      </w:r>
    </w:p>
    <w:p>
      <w:r>
        <w:rPr>
          <w:b/>
        </w:rPr>
        <w:t>E. 5.4</w:t>
      </w:r>
    </w:p>
    <w:p>
      <w:r>
        <w:t>Insgesamt hat die Beschwerdeführerin keine asylrelevanten Nachteile erlitten und es besteht auch kein Hinweis darauf, dass ihr eine künftige asylrelevante Verfolgung drohen würde. Die Vorinstanz hat das Asylgesuch der Beschwerdeführerin somit zu Recht abgewiesen.</w:t>
      </w:r>
    </w:p>
    <w:p>
      <w:r>
        <w:rPr>
          <w:b/>
        </w:rPr>
        <w:t>E. 6</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Die Beschwerdeführerin hatte ihren letzten offiziellen Wohnsitz in der Provinz D._______. Nach der Rechtsprechung des Bundesverwaltungsgerichts herrscht in den Provinzen F._______ und D._______ eine Situation allgemeiner Gewalt. Ein Wegweisungsvollzug dorthin ist generell unzumutbar (vgl. BVGE 2013/2; Urteil des BVGer D-3554/2019 vom 23. Juli 2019 E. 10.4.2). Die Vorinstanz hat deshalb korrekterweise Istanbul als innerstaatliche Aufenthaltsalternative geprüft. Die Beschwerdeführerin ist jung und gesund. Gemäss ihren Angaben verfügt sie in G._______ über Verwandte. Kurz vor ihrer Ausreise hat sie sich im Rahmen einer Weiterbildung als Coiffeuse bei ihrer Tante und deren Tochter in G._______ aufgehalten. Sie verfügt über eine Schulbildung, eine Ausbildung als Coiffeuse und eine langjährige Berufserfahrung. Es ist mit der Vorinstanz davon auszugehen, dass sie in G._______ eine Anstellung finden wird und für sich selbst aufkommen kann, weshalb für sie ausserhalb ihrer Heimatprovinz D._______ eine zumutbare innerstaatliche Aufenthaltsalternative besteht. Der Vollzug der Wegweisung erweist sich für die Beschwerdeführerin somit auch in individueller Hinsicht als zumutbar.</w:t>
      </w:r>
    </w:p>
    <w:p>
      <w:r>
        <w:rPr>
          <w:b/>
        </w:rPr>
        <w:t>E. 7.4</w:t>
      </w:r>
    </w:p>
    <w:p>
      <w:r>
        <w:t>Nach Art. 83 Abs. 2 AIG ist der Vollzug auch als möglich zu bezeichnen, da es der Beschwerdeführerin obliegt, sich bei der zuständigen Vertretung ihres Heimatstaats die für ihre Rückkehr notwendigen Reisedokumente zu beschaffen (Art. 8 Abs. 4 AslyG; BVGE 2008/34 E. 12).</w:t>
      </w:r>
    </w:p>
    <w:p>
      <w:r>
        <w:rPr>
          <w:b/>
        </w:rPr>
        <w:t>E. 7.5</w:t>
      </w:r>
    </w:p>
    <w:p>
      <w:r>
        <w:t>Zusammenfassend hat die Vorinstanz den Wegweisungsvollzug zu Recht als zulässig, zumutbar und möglich bezeichnet. Eine Anordnung der vorläufigen Aufnahme fällt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gestellten Rechtsbegehren erweisen sich als aussichtslos, weshalb die Gesuche um unentgeltliche Prozessführung und Beiordnung einer amtlichen Rechtsbeiständin ungeachtet einer allfälligen prozessualen Bedürftigkeit abzuweisen sind (Art. 65 Abs. 1 VwVG und Art. 110a Abs. 1 Bst. a AslG).</w:t>
      </w:r>
    </w:p>
    <w:p>
      <w:r>
        <w:rPr>
          <w:b/>
        </w:rPr>
        <w:t>E. 9.2</w:t>
      </w:r>
    </w:p>
    <w:p>
      <w:r>
        <w:t>Bei diesem Ausgang des Verfahrens sind die Kosten von Fr. 750.- (Art. 1-3 des Reglements vom 21. Februar 2008 über die Kosten und Entschädigungen vor dem Bundesverwaltungsgericht [VGKE], SR 173.320.2) der Beschwerdeführerin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