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E-114/2014 vom 23. Januar 2014</w:t>
      </w:r>
    </w:p>
    <w:p>
      <w:r>
        <w:t>Bundesverwaltungsgericht, 2014-01-23, DE</w:t>
      </w:r>
    </w:p>
    <w:p>
      <w:r>
        <w:rPr>
          <w:b/>
        </w:rPr>
        <w:t xml:space="preserve">Quelle: </w:t>
      </w:r>
      <w:r>
        <w:t>https://mcp.opencaselaw.ch/entscheid/bvger_E-114_2014</w:t>
      </w:r>
    </w:p>
    <w:p>
      <w:r>
        <w:t>FR: TAF E-114/2014 du 23 janvier 2014</w:t>
      </w:r>
    </w:p>
    <w:p>
      <w:r>
        <w:t>IT: TAF E-114/2014 del 23 gennaio 2014</w:t>
      </w:r>
    </w:p>
    <w:p>
      <w:pPr>
        <w:pStyle w:val="Heading2"/>
      </w:pPr>
      <w:r>
        <w:t>Regeste</w:t>
      </w:r>
    </w:p>
    <w:p>
      <w:r>
        <w:t>Rechtsverzögerung/Rechtsverweigerung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VwVG zuständig und entscheidet auf dem Gebiet des Asyls in der Regel - wie auch vorliegend - endgültig (vgl. Art. 83 Bst. d Ziff. 1 des Bundesgerichtsgesetzes vom 17. Juni 2005 [BGG, SR 173.110]; Art. 105 des Asylgesetzes vom 26. Juni 1998 [AsylG, SR 142.31]). Gegen das unrechtmässige Verweigern oder Verzögern einer anfechtbaren Verfügung kann Beschwerde geführt werden (Art. 46a VwVG). Beschwerde kann, wie gegen die Verfügung selbst, geführt werden (vgl. Markus Müller, in: Auer/Müller/Schindler (Hrsg.), Kommentar zum Bundesgesetz über das Verwaltungsverfahren (VwVG), Zürich 2008, Rz. 3 zu Art. 46a). Nach dem Gesagten ist das Bundesverwaltungsgericht zur Beurteilung der vorliegenden Rechtsverzögerungsbeschwerde zuständig.</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Da die Beschwerdeführerin um eine Einreisebewilligung und Asyl für ihren Sohn in Form einer anfechtbaren Verfügung ersucht, ist sie zur Beschwerdeführung legitimiert</w:t>
      </w:r>
    </w:p>
    <w:p>
      <w:r>
        <w:rPr>
          <w:b/>
        </w:rPr>
        <w:t>E. 2.2</w:t>
      </w:r>
    </w:p>
    <w:p>
      <w:r>
        <w:t>Gegen das unrechtmässige Verzögern einer Verfügung kann grundsätzlich jederzeit Beschwerde geführt werden (Art. 50 Abs. 2 VwVG). Dennoch steht der Zeitpunkt der Beschwerdeerhebung nicht völlig im Belieben der Beschwerdeführenden. Diese müssen darlegen, dass sie zur Zeit der Beschwerdeeinreichung immer noch ein schutzwürdiges mithin aktuelles Interesse an der Vornahme der verzögerten Amtshandlung haben (vgl. Ursina Beerli-Bonorand, Die ausserordentlichen Rechtsmittel in der Verwaltungsrechtspflege des Bundes und der Kantone, Zürich 1985, S. 221 f.). Das schutzwürdige Interesse der Beschwerdeführerin und ihres Sohnes an der Vornahme der allenfalls verzögerten Amtshandlung manifestiert sich vorliegend bereits in den sich bei den Akten befindenden Eingaben, in denen unter Hinweis auf die sich verschlechternde Lage des Sohnes wiederholt um baldige Anhandnahme ihres Gesuchs ersucht wurde.</w:t>
      </w:r>
    </w:p>
    <w:p>
      <w:r>
        <w:rPr>
          <w:b/>
        </w:rPr>
        <w:t>E. 2.3</w:t>
      </w:r>
    </w:p>
    <w:p>
      <w:r>
        <w:t>Auf die frist- und formgerecht eingereichte Rechtsverzögerungsbeschwerde ist einzutreten.</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 Gestützt auf Art. 111a Abs. 1 AsylG wurde vorliegend auf die Durchführung eines Schriftenwechsels verzichtet.</w:t>
      </w:r>
    </w:p>
    <w:p>
      <w:r>
        <w:rPr>
          <w:b/>
        </w:rPr>
        <w:t>E. 4</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(Art. 61 Abs. 1 VwVG; so noch ausdrücklich altArt. 70 Abs. 2 VwVG). Hingegen hat sich das Gericht einer Stellungnahme dazu, wie ein unrechtmässig verzögerter Entscheid inhaltlich hätte ausfallen sollen, zu enthalten, da es unter Vorbehalt von speziellen Konstellationen nicht anstelle der untätigen Behörde entscheiden darf, andernfalls der Instanzenzug verkürzt und möglicherweise weitere Rechte der Verfahrensbeteiligten verletzt würden (vgl. BVGE 2008/15 E. 3.1.2 S. 193, m.w.H.).</w:t>
      </w:r>
    </w:p>
    <w:p>
      <w:r>
        <w:rPr>
          <w:b/>
        </w:rPr>
        <w:t>E. 5</w:t>
      </w:r>
    </w:p>
    <w:p>
      <w:r>
        <w:t>Das Verbot der Rechtsverweigerung und Rechtsverzögerung ergibt sich als Teilgehalt aus der Verfahrensgarantie von Art. 29 Abs. 1 der Bundesverfassung der Schweizerischen Eidgenossenschaft vom 18. April 1999 (BV, SR 101). Danach hat jede Person vor Gerichts- und Verfahrensinstanzen Anspruch auf gleiche und gerechte Behandlung sowie auf Beurteilung innert angemessener Frist (sog. Beschleunigungsgebot). 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aber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auch einzelfallspezifische Entscheidungsabläufe (vgl. zum Ganzen BGE 130 I 312 E. 5.1 und 5; Markus Müller, in: Auer/Müller/Schindler (Hrsg.), Kommentar zum Bundesgesetz über das Verwaltungsverfahren (VwVG), Zürich 2008, Rz. 6 zu Art. 46a). Ein Verschulden der Behörde an der Verzögerung wird nicht vorausgesetzt, weshalb sie das Rechtsverzögerungsverbot auch dann verletzt, wenn sie wegen Personalmangels oder Überlastung nicht innert angemessener Frist verfügt (vgl. BGE 107 I b 160 E. 3c, BGE 103 V 190 E. 5.2; Felix Uhlmann/Simone Wälle-Bär, in: Praxiskommentar VwVG, Waldmann/Weissenberger (Hrsg.), Zürich 2009, Art. 46a N 20).</w:t>
      </w:r>
    </w:p>
    <w:p>
      <w:r>
        <w:rPr>
          <w:b/>
        </w:rPr>
        <w:t>E. 6</w:t>
      </w:r>
    </w:p>
    <w:p>
      <w:r>
        <w:t>Nach den in Art. 37 AsylG festgelegten erstinstanzlichen Verfahrens-fristen sind Entscheide nach den Artikeln 38 - 40 in der Regel innerhalb von 20 Arbeitstagen nach der Gesuchstellung zu treffen (Abs. 2) beziehungsweise in der Regel innerhalb von drei Monaten, wenn weitere Abklärungen nach Art. 41 erforderlich sind (Abs. 3), und grundsätzlich innerhalb von zehn Arbeitstagen, wenn es sich um Nichteintretensentscheide handelt (Abs. 1). Das Auslandverfahren weist zwar Besonderheiten auf, welche die Beachtung dieser Fristen erschweren, namentlich die teilweise lange Dauer der postalischen Übermittlung von Unterlagen. Dieser Umstand ist indessen vorliegend nicht von Bedeutung, sind doch bis zur Einleitung des Beschwerdeverfahrens keinerlei Instruktionen erfolgt und hält sich die Beschwerdeführerin in der Schweiz auf. Dem Bundesverwaltungsgericht ist die hohe Belastung der Vorinstanz bekannt, und es ist nachvollziehbar, dass nicht jedes einzelne Verfahren innerhalb der gesetzlichen Behandlungsfristen abgeschlossen werden kann. Verfahren, die länger dauern, sind unvermeidbar, was in der Formulierung von Art. 37 Abs. 2 AsylG ("in der Regel") zum Ausdruck kommt. Nicht hinnehmbar ist dagegen die völlige Untätigkeit im vorliegenden Verfahren während mehr als zwei Jahren, in denen das BFM nicht einmal eine Eingangsbestätigung versandte und keinerlei Schritte unternahm. Es beantwortete mehrere Eingaben, mit denen um beschleunigte Behandlung ersucht worden war, nicht, so dass sich die Beschwerdeführerin schliesslich zur Einleitung des vorliegenden Beschwerdeverfahrens veranlasst sah. Das Beschleunigungsgebot von Art. 29 Abs. 1 BV wurde klar missachtet. 7.Die Rüge der Rechtsverzögerung erweist sich demnach als begründet. Die Beschwerde ist gutzuheissen. Die Akten gehen an das BFM zurück, verbunden mit der Anweisung, das Gesuch vom 20. Oktober 2011 anhandzunehmen, zügig zu behandeln und einer anfechtbaren Verfügung zuzuführen. 8.Bei diesem Ausgang des Verfahrens sind keine Verfahrenskosten aufzuerlegen (Art. 63 Abs.1 VwVG). Das Gesuch um Gewährung der unentgeltlichen Prozessführung im Sinne von Art. 65 Abs. 1 VwVG einschliesslich Kostenvorschussverzicht wird damit gegenstandslos. 9.Obsiegende Parteien haben Anspruch auf eine Parteientschädigung für die ihnen erwachsenen notwendigen Kosten (Art. 64 Abs. 1 VwVG; Art. 7 Abs. 1 und 4 des Reglements vom 21. Februar 2008 über die Kosten und Entschädigungen vor dem Bundesverwaltungsgericht (VGKE, SR 173.320.2). Der in der Kostennote vom 9. Januar 2014 ausgewiesene Aufwand von Fr. 827.60 erscheint angemessen. Die Vorinstanz ist anzuweisen, der Beschwerdeführerin eine Parteientschädigung in diesem Betrag auszurichten. Das Gesuch um Beigabe einer Anwältin wird folglich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