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E-114/2010 vom 25. Januar 2010</w:t>
      </w:r>
    </w:p>
    <w:p>
      <w:r>
        <w:t>Bundesverwaltungsgericht, 2010-01-25, DE</w:t>
      </w:r>
    </w:p>
    <w:p>
      <w:r>
        <w:rPr>
          <w:b/>
        </w:rPr>
        <w:t xml:space="preserve">Quelle: </w:t>
      </w:r>
      <w:r>
        <w:t>https://mcp.opencaselaw.ch/entscheid/bvger_E-114_2010</w:t>
      </w:r>
    </w:p>
    <w:p>
      <w:r>
        <w:t>FR: TAF E-114/2010 du 25 janvier 2010</w:t>
      </w:r>
    </w:p>
    <w:p>
      <w:r>
        <w:t>IT: TAF E-114/2010 del 25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Zusammenfassend kann also festgehalten werden, dass es den Beschwerdeführenden nicht gelingt, eine asylrelevante Verfolgung in ihrem Heimatstaat glaubhaft zu machen, weshalb das BFM die Flüchtlingseigenschaft zu Recht verneint und die Asylgesuche zu Recht abgewiesen hat.</w:t>
      </w:r>
    </w:p>
    <w:p>
      <w:r>
        <w:rPr>
          <w:b/>
        </w:rPr>
        <w:t>E. 4.1.1</w:t>
      </w:r>
    </w:p>
    <w:p>
      <w:r>
        <w:t>Die Vorinstanz verneint in der angefochtenen Verfügung die Asylrelevanz der Vorbringen der Beschwerdeführenden und enthält sich einer Beurteilung deren Glaubhaftigkeit. Die äusserst unsubstanziierten Schilderungen des (...) Aufenthaltes in Eritrea durch A._______ lassen jedoch erhebliche Zweifel darüber aufkommen, ob dieser überhaupt stattgefunden hat und ob der zweite Ehemann tatsächlich Mitglied der F._______ war und auf die geschilderte Weise verhaftet worden ist. Auf Aufforderung der Befragerin anlässlich der ergänzenden Anhörung vom 2. Dezember 2009, den Ablauf der Festnahme des zweiten Ehemannes in Eritrea so detailliert zu beschreiben, dass sie sich ihn wie in einem Film vorstellen könne, führte A._______ nämlich nur gerade Folgendes aus: "Sie kamen, erst klopften sie an die Haustür. Nachdem wir dann die Tür öffneten, kamen sie vermummt in die Wohnung. Sie haben meinen Ehemann mitgenommen und sie haben mich gefragt, ob ich irgendwelche Dokumente habe. Danach sind sie mit meinem Ehemann weggegangen." (A 30/23 S. 9 F 94). Auf Nachfrage ergänzte sie schliesslich, dass es drei normal gekleidete Personen gewesen seien und die Familie zum Zeitpunkt des Klopfens an der Türe geschlafen habe. Auf die Frage, weshalb sich ihr Ehemann denn nicht gewehrt habe, antwortete sie, die Personen seien bewaffnet gewesen. Was für Waffen konnte sie nicht sagen. Aber auch die Angaben zur Reise vom Sudan nach Eritrea fielen auffallend unsubstanziiert aus. Auf Aufforderung der Befragerin, ihre persönlichen Eindrücke während ihrer Reise zu schildern und die Landschaft zu beschreiben, meinte A._______ nur, es sei eine verlassene Gegend. Auf entsprechendes Nachhaken gab sie schliesslich zur Antwort, es gebe da keine Ortschaften, das sei eine verlassene Gegend, weshalb sie nicht beschreiben könne, wie die Natur dort aussehe (A 30/23 S. 7 F58 f.). Insgesamt lassen die Aussagen der Beschwerdeführerin nicht den Eindruck erwecken, sie habe das Geschilderte tatsächlich erlebt. Dazu kommt, dass sich auch der damals (...)jährige Sohn B._______ weder an einen Eritrea-Aufenthalt noch an das Zusammenleben mit dem zweiten Ehemann der Beschwerdeführerin im Sudan erinnern konnte (A 31/8 S. 2 F5 ff., S. 3 F14 f. und S. 6 F65 ff.).</w:t>
      </w:r>
    </w:p>
    <w:p>
      <w:r>
        <w:rPr>
          <w:b/>
        </w:rPr>
        <w:t>E. 4.1.2</w:t>
      </w:r>
    </w:p>
    <w:p>
      <w:r>
        <w:t>Aber selbst wenn davon ausgegangen wird, die Vorbringen der Beschwerdeführerin würden den Tatsachen entsprechen, ist deren Asylrelevanz in Übereinstimmung mit den vorinstanzlichen Erwägungen zu verneinen. Die Beschwerdeführenden machen in der Beschwerde geltend, sie hätten aufgrund der Vergangenheit des zweiten Ehemannes bei einer Rückkehr nach Eritrea mit einer Reflexverfolgung zu rechnen. Hierzu ist anzuführen, dass letzterer gemäss den Aussagen von A._______ in ihrer Anwesenheit verhaftet wurde. Hätten die eritreischen Behörden tatsächlich auch ein Interesse an den Beschwerdeführenden gehabt, so hätten sie sie wohl kaum trotz vorhandener Gelegenheit zur Festnahme im Haus zurückgelassen. Hierfür spricht auch die Aussage von A._______, die drei Männer hätten nur nach den Dokumenten des Ehemannes verlangt und ansonsten nicht mit ihr geredet (A 30/23 S. 10 F109 und F113). In Anbetracht, dass die Festnahme (...) Jahre zurückliegt, die Familie seither keinen Kontakt mehr mit dem Verhafteten hatte und die Behörden schliesslich mit der Festnahme des Gesuchten nicht (mehr) auf Informationen Angehöriger angewiesen sind, ist kein Motiv für eine Reflexverfolgung ersichtlich. Die Beschwerdeführenden machen weiter geltend, sie befürchteten bei einer Rückkehr nach Eritrea in den Militärdienst eingezogen und dort einer unmenschlichen Behandlung ausgesetzt zu werden. Diesbezüglich kann zunächst auf die von der Vorinstanz angerufene, in EMARK 2006 Nr. 3 publizierte Rechtsprechung der Schweizerischen Asylrekurskommission (ARK) verwiesen werden, welche vom Bundesverwaltungsgericht übernommen wird. Danach weist die Rekrutierung für den Nationaldienst für sich alleine nicht die nach Art. 3 AsylG erforderliche Intensität auf. Für die Anerkennung der Flüchtlingseigenschaft wird vielmehr vorausgesetzt, dass eine begründete Furcht vor einer Bestrafung wegen Dienstverweigerung oder Desertion vorliegt. Davon ist gemäss zitierter Rechtsprechung auszugehen, wenn die betroffene Person in einem konkreten Kontakt zu den Militärbehörden stand oder aus einem Kontakt zu den Behörden erkennbar wurde, dass die betroffene Person rekrutiert werden sollte. Zu einem solchen Kontakt ist es im vorliegenden Fall offensichtlich nicht gekommen, was von den Beschwerdeführenden auch nicht bestritten wird. Sie machen vielmehr geltend, die eritreischen Behörden hätten aufgrund ihres Auslandaufenthaltes gar nicht in Kontakt mit ihnen treten können, weshalb die genannte Rechtsprechung für ihren Fall nicht gelte. Dieses Argument greift aus folgenden Gründen ins Leere: Die Beschwerdeführerin ist im Sudan geboren und aufgewachsen und hat sich, abgesehen von (...), nie in ihrem Heimatstaat Eritrea aufgehalten. Sie ist somit nicht erst nach Einführung des National Service ins Ausland ausgewandert, sondern hat ihr ganzes Leben dort verbracht. Inwiefern die eritreischen Behörden darin eine Dienstverweigerung sehen könnten, ist nicht ersichtlich. Was ihre beiden Kinder betrifft, so ist festzuhalten, dass die Tochter noch minderjährig ist und der Sohn erst vor kurzem (...) das dienstpflichtige Alter erreichte. Aus diesem und demselben Grund wie bei ihrer Mutter ist auch in Bezug auf sie nicht nachvollziehbar, weshalb die eritreischen Behörden von einer Dienstverweigerung ausgehen sollten. Eine begründete Furcht vor Bestrafung wegen Dienstverweigerung kann nach dem Gesagten hinsichtlich der drei Beschwerdeführenden nicht bejaht werden. Des Weiteren machen A._______ und ihre Tochter geltend, sie würden in Eritrea als Angehörige der Z._______ verfolgt werden. Mutter und Tochter sind nach eigenen Angaben vor (...) der Z._______ beigetreten, weil der Vater des Sohnes bei der Z._______ ist und sie überzeugt hat (A 30/23 S. 16 F191). Die Tatsache allein, dass die Beschwerdeführenden in der Schweiz der Z._______ beigetreten sind und seit (...) eine Gemeinde in I._______ besuchen, reicht nicht aus, um von einer begründeten Furcht vor Verfolgung ausgehen zu können. Es kann diesbezüglich auf die vorinstanzlichen Erwägungen verwiesen werden. Als offensichtlich nicht asylrelevant erweist sich schliesslich auch die von A._______ geäusserte Furcht, ihre Kinder könnten von Opfern ihres zweiten Ehemannes aus Rache getötet werden, da hierfür überhaupt keine konkreten Anhaltspunkte vorliegen.</w:t>
      </w:r>
    </w:p>
    <w:p>
      <w:r>
        <w:rPr>
          <w:b/>
        </w:rPr>
        <w:t>E. 4.2</w:t>
      </w:r>
    </w:p>
    <w:p>
      <w:r>
        <w:t>Auf die Vorbringen der Beschwerdeführenden zum Verlassen des Sudans in Richtung Schweiz muss im vorliegenden Verfahren nicht eingegangen werden, da sie - wie in Erwägung 4.3 ausgeführt - in ihrem Heimatstaat keiner asylrelevanten Verfolgung ausgesetzt und damit nicht auf internationalen Schutz angewiesen sind.</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Das BFM hat die Beschwerdeführenden in der angefochtenen Verfügung vom 8. Dezember 2009 wegen Unzumutbarkeit des Vollzugs der Wegweisung vorläufig aufgenommen. Diese Anordnung wird vom Gericht nicht in Zweifel gezogen und damit bestätigt.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VwVG). Da sich die prozessuale Bedürftigkeit der Beschwerdeführenden aus den Akten des früheren Verfahrens ergibt (Fürsorgebestätigung der Gemeinde E._______ vom 21. Juli 2009) und die Rechtsbegehren nicht als aussichtslos im Sinn von Art. 65 Abs. 1 VwVG bezeichnet werden konnten, ist in Gutheissung des Gesuchs um Gewährung der unentgeltlichen Rechtspflege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