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E-1147/2016 vom 1. März 2016</w:t>
      </w:r>
    </w:p>
    <w:p>
      <w:r>
        <w:t>Bundesverwaltungsgericht, 2016-03-01, DE</w:t>
      </w:r>
    </w:p>
    <w:p>
      <w:r>
        <w:rPr>
          <w:b/>
        </w:rPr>
        <w:t xml:space="preserve">Quelle: </w:t>
      </w:r>
      <w:r>
        <w:t>https://mcp.opencaselaw.ch/entscheid/bvger_E-1147_2016</w:t>
      </w:r>
    </w:p>
    <w:p>
      <w:r>
        <w:t>FR: TAF E-1147/2016 du 1 mars 2016</w:t>
      </w:r>
    </w:p>
    <w:p>
      <w:r>
        <w:t>IT: TAF E-1147/2016 del 1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einzig die Flüchtlingseigenschaft des Beschwerdeführers sowie die Wegweisung. Der Asylpunkt wird vom Beschwerdeführer nicht angefochten. Der Wegweisungsvollzug ist nicht zu prüfen, nachdem die Vorinstanz die vorläufige Aufnahme zu Gunsten des Beschwerdeführers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rügt eine Verletzung der Untersuchungs- und Begründungspflicht. Die Vorinstanz vermische die Glaubhaftigkeit einzelner Aussagen mit der Glaubhaftigkeit des Sachverhalts. Sie habe den Sachverhalt ungenügend überprüft und eine objektive Gesamtwürdigung unterlassen. Diese Rüge geht fehl. Was der Beschwerdeführer eigentlich rügt, ist weder eine fehlerhafte Feststellung des Sachverhalts noch eine Verletzung des rechtlichen Gehörs in Form der Begründungspflicht, sondern eine mangelhafte Beweiswürdigung, welche nachfolgend zu prüfen ist. Eine Verletzung der Untersuchungs- oder Begründungspflicht ist vorliegend nicht ersichtlich.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5.1</w:t>
      </w:r>
    </w:p>
    <w:p>
      <w:r>
        <w:t>In Übereinstimmung mit der Vorinstanz und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5.2</w:t>
      </w:r>
    </w:p>
    <w:p>
      <w:r>
        <w:t>Die Vorinstanz kommt in der angefochtenen Verfügung zum Schluss, dem Beschwerdeführer sei es nicht gelungen, die behauptete illegale Ausreise und damit das Vorliegen von subjektiven Nachfluchtgründen glaubhaft zu machen. Seine Schilderungen seien substanzlos und würden bloss summarisch ausfallen. Seine Angaben seien unspezifisch, könnten so auch von jeder unbeteiligten Person gemacht werden und es fehle ihnen an Realkennzeichen.</w:t>
      </w:r>
    </w:p>
    <w:p>
      <w:r>
        <w:rPr>
          <w:b/>
        </w:rPr>
        <w:t>E. 5.3</w:t>
      </w:r>
    </w:p>
    <w:p>
      <w:r>
        <w:t>Der Beschwerdeführer wendet dagegen ein, er sei eritreischer Staatsbürger und habe sich vor seiner Flucht in Eritrea aufgehalten, was von der Vorinstanz nicht in Zweifel gezogen werde. Seine Schilderungen, wonach er die Grenze illegal zu Fuss überquert habe, seien plausibel. Insgesamt habe er sowohl Erlebnisse als auch Eindrücke aus seiner Umgebung geschildert. Realkennzeichen seien vorhanden, was von der Vorinstanz nicht gewürdigt worden sei. Hinweise für eine legale Ausreise würden sich keine finden. Als 20-jähriger Mann könne er Eritrea kaum legal verlassen.</w:t>
      </w:r>
    </w:p>
    <w:p>
      <w:r>
        <w:rPr>
          <w:b/>
        </w:rPr>
        <w:t>E. 5.4</w:t>
      </w:r>
    </w:p>
    <w:p>
      <w:r>
        <w:t>Aufgrund der Akten stimmt das Gericht der Vorinstanz darin zu, dass die Vorbringen des Beschwerdeführers zu den Umständen der Ausreise unglaubhaft sind. Zutreffend stellt sie fest, dass seine Ausführungen zur angeblich illegalen Ausreise bloss summarisch und unsubstantiiert ausgefallen sind. So gibt der Befrager dem Beschwerdeführer mit einer offenen Frage die Möglichkeit, sich zur Ausreise frei zu äussern, mit dem Hinweis, dies so ausführlich wie möglich zu tun. Der Beschwerdeführer antwortet darauf lediglich, er habe in B._______ angefangen, sei dann nach C._______ und dann nach D._______ gegangen. Von dort nach E._______ und dann nach F._______. Dort sei er zwei Monate gewesen (SEM-Akten, A18/20 F171). Nachgefragt, ob er genauer erzählen könne, führt er aus, er sei gegen Mitternacht losgelaufen und habe die Grenze kriechend überquert, wo er von äthiopischen Soldaten aufgenommen worden sei (SEM-Akten, A18/20 F172). Der Befrager fordert den Beschwerdeführer daraufhin ein drittes Mal auf, ausführliche Schilderungen zu machen, woraufhin der Beschwerdeführer ein drittes Mal lediglich oberflächliche Handlungsstränge preisgibt. Auch in den weiteren Ausführungen des Beschwerdeführers finden sich weder Realkennzeichen noch substantiierte Ausführungen zu den Umständen der Ausreise. Wie die Vorinstanz zutreffend ausführt, könnten diese Angaben von jeder unbeteiligten Person genauso gemacht werden.</w:t>
      </w:r>
    </w:p>
    <w:p>
      <w:r>
        <w:rPr>
          <w:b/>
        </w:rPr>
        <w:t>E. 5.5</w:t>
      </w:r>
    </w:p>
    <w:p>
      <w:r>
        <w:t>Obwohl der Beschwerdeführer die wahren Umstände seiner Ausreise offensichtlich verheimlicht, lässt sich zwar (angesichts des Alters zur Zeit der Ausreise und in Berücksichtigung der Erwägung 5.1)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5.1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Fehlens nachvollziehbarer Erklärungen auf Beschwerdeebene festzustellen, dass er das Vorliegen subjektiver Nachfluchtgründen nicht nachzuweisen oder zumindest glaubhaft zu machen vermag. Die Vorinstanz hat deshalb zu Recht die Flüchtlingseigenschaft des Beschwerdeführers verneint.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