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E-1147/2010 vom 5. März 2010</w:t>
      </w:r>
    </w:p>
    <w:p>
      <w:r>
        <w:t>Bundesverwaltungsgericht, 2010-03-05, DE</w:t>
      </w:r>
    </w:p>
    <w:p>
      <w:r>
        <w:rPr>
          <w:b/>
        </w:rPr>
        <w:t xml:space="preserve">Quelle: </w:t>
      </w:r>
      <w:r>
        <w:t>https://mcp.opencaselaw.ch/entscheid/bvger_E-1147_2010</w:t>
      </w:r>
    </w:p>
    <w:p>
      <w:r>
        <w:t>FR: TAF E-1147/2010 du 5 mars 2010</w:t>
      </w:r>
    </w:p>
    <w:p>
      <w:r>
        <w:t>IT: TAF E-1147/2010 del 5 marzo 2010</w:t>
      </w:r>
    </w:p>
    <w:p>
      <w:pPr>
        <w:pStyle w:val="Heading2"/>
      </w:pPr>
      <w:r>
        <w:t>Regeste</w:t>
      </w:r>
    </w:p>
    <w:p>
      <w:r>
        <w:t>Asylgesuch aus dem Ausland und Einreisebewilligung</w:t>
      </w:r>
    </w:p>
    <w:p>
      <w:pPr>
        <w:pStyle w:val="Heading2"/>
      </w:pPr>
      <w:r>
        <w:t>Erwägungen</w:t>
      </w:r>
    </w:p>
    <w:p>
      <w:r>
        <w:rPr>
          <w:b/>
        </w:rPr>
        <w:t>E. 1</w:t>
      </w:r>
    </w:p>
    <w:p>
      <w:r>
        <w:t>Die Beschwerde wird im Sinne der Erwägungen gutgeheissen.</w:t>
      </w:r>
    </w:p>
    <w:p>
      <w:r>
        <w:rPr>
          <w:b/>
        </w:rPr>
        <w:t>E. 2</w:t>
      </w:r>
    </w:p>
    <w:p>
      <w:r>
        <w:t>Die Verfügung vom 9. November 2009 wird aufgehoben. Das BFM wird angewiesen, dem Beschwerdeführer und seiner Ehefrau das rechtliche Gehör zu gewähren, den rechtserheblichen Sachverhalt vollständig festzustellen und in der Sache neu zu entscheiden.</w:t>
      </w:r>
    </w:p>
    <w:p>
      <w:r>
        <w:rPr>
          <w:b/>
        </w:rPr>
        <w:t>E. 3</w:t>
      </w:r>
    </w:p>
    <w:p>
      <w:r>
        <w:t>Dieses Urteil geht an den Beschwerdeführer (...) und das BFM.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