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E-1142/2014 vom 14. April 2014</w:t>
      </w:r>
    </w:p>
    <w:p>
      <w:r>
        <w:t>Bundesverwaltungsgericht, 2014-04-14, DE</w:t>
      </w:r>
    </w:p>
    <w:p>
      <w:r>
        <w:rPr>
          <w:b/>
        </w:rPr>
        <w:t xml:space="preserve">Quelle: </w:t>
      </w:r>
      <w:r>
        <w:t>https://mcp.opencaselaw.ch/entscheid/bvger_E-1142_2014</w:t>
      </w:r>
    </w:p>
    <w:p>
      <w:r>
        <w:t>FR: TAF E-1142/2014 du 14 avril 2014</w:t>
      </w:r>
    </w:p>
    <w:p>
      <w:r>
        <w:t>IT: TAF E-1142/2014 del 14 aprile 2014</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des AsylG [SR 142.31]). Die Beschwerdeführerin ist als Verfügungsadressatin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Vorinstanz ist gestützt auf Art. 32 Abs. 2 Bst. e AsylG auf das zweite Asylgesuch der Beschwerdeführerin nicht eingetreten. Diese Bestimmung wurde mit dem Inkrafttreten der Gesetzesänderungen von 14. Dezember 2012 per 1. Februar 2014 aufgehoben. Gemäss Übergangsbestimmungen gilt bei Wiedererwägungs- und Mehrfachgesuchen für die am 1. Februar 2014 hängigen Verfahren - und somit auch für das vorliegende Verfahren - bisheriges Recht (vgl. Abs. 2 der Übergangsbestimmungen zur Änderung vom 14. Dezember 2012 zum AsylG, AS 2013 4387).</w:t>
      </w:r>
    </w:p>
    <w:p>
      <w:r>
        <w:rPr>
          <w:b/>
        </w:rPr>
        <w:t>E. 2.3</w:t>
      </w:r>
    </w:p>
    <w:p>
      <w:r>
        <w:t>Bei Beschwerden gegen Nichteintretensentscheide, mit denen es die Vorinstanz ablehnt, das Asylgesuch auf seine Begründetheit hin zu über-prüfen (aArt. 32-35a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Das Bundesverwaltungsgericht hat vorliegend gestützt auf Art. 111a Abs. 1 AsylG auf die Durchführung eines Schriftenwechsels verzichtet.</w:t>
      </w:r>
    </w:p>
    <w:p>
      <w:r>
        <w:rPr>
          <w:b/>
        </w:rPr>
        <w:t>E. 4</w:t>
      </w:r>
    </w:p>
    <w:p>
      <w:r>
        <w:t>Das vorliegende Verfahren wird, wie bereits in der Zwischenverfügung vom 13. März 2014 festgehalten, mit dem Beschwerdeverfahren der Tochter (E-1135/2014), demjenigen des Sohnes (E-1137/2014) sowie demjenigen des Ehemannes (E-1670/2014) der Beschwerdeführerin insoweit koordiniert, als alle Urteile vom gleichen Spruchkörper behandelt und zeitgleich ergehen werden. Darüber hinaus ist ohne weiteres selbstverständlich, dass allfällige Erkenntnisse aus dem einen Verfahren in den übrigen Verfahren der Familie Berücksichtigung finden. Es erübrigt sich somit, auf die diesbezüglichen Ausführungen, namentlich die behauptete Verletzung von Art. 8 EMRK, weiter einzugehen.</w:t>
      </w:r>
    </w:p>
    <w:p>
      <w:r>
        <w:rPr>
          <w:b/>
        </w:rPr>
        <w:t>E. 5.1</w:t>
      </w:r>
    </w:p>
    <w:p>
      <w:r>
        <w:t>Die Beschwerdeführerin stellt in der Rechtsmitteleingabe zu Recht fest, dass die Erwägung unter Ziffer II der angefochtenen Verfügung, wonach das Verfahren bis zum rechtskräftigen Entscheid über das Asylgesuch ihres Ehemannes sistiert werde, mit der im Dispositiv angesetzten Ausreisefrist nicht vereinbar ist. Indes ist ihr aus diesem offensichtlichen Versehen der Vorinstanz kein Nachteil erwachsen. Der von der Beschwerdeführerin eingereichten Beschwerde kommt die aufschiebende Wirkung zu, und wie vorstehend unter Ziffer 4 festgehalten, wird das Verfahren der Beschwerdeführerin mit demjenigen ihres Ehemannes insoweit koordiniert, als die beiden Urteile zeitgleich ergehen.</w:t>
      </w:r>
    </w:p>
    <w:p>
      <w:r>
        <w:rPr>
          <w:b/>
        </w:rPr>
        <w:t>E. 5.2</w:t>
      </w:r>
    </w:p>
    <w:p>
      <w:r>
        <w:t>Die Beschwerdeführerin rügt eine Verletzung des Akteneinsichtsrechts. Mit Zwischenverfügung vom 13. März 2014 hat der Instruktionsrichter festgestellt, dass keine Verletzung des Anspruchs auf rechtliches Gehör vorliegt. Weiter hat er festgestellt, die Beschwerdeführerin habe keinen Anspruch auf Vereinigung ihres Verfahrens mit denjenigen ihrer Verwandten und insoweit auf Erlass nur einer Verfügung. Es liegt weder eine Verletzung von Bundesrecht noch eine solche von Art. 8 ERMK vor. Soweit in diesem Zusammenhang noch vorgebracht wird, es sei unhaltbar, dass die Vorinstanz unterschiedliche "Entscheidformen" gewählt habe, ist der nicht näher begründete Einwand ebenfalls unbehelflich. Ob die Vorinstanz allenfalls zu Unrecht auf das zweite Asylgesuch der Beschwerdeführerin nicht eingetreten ist, ist separat zu prüfen (E. 6).</w:t>
      </w:r>
    </w:p>
    <w:p>
      <w:r>
        <w:rPr>
          <w:b/>
        </w:rPr>
        <w:t>E. 5.3</w:t>
      </w:r>
    </w:p>
    <w:p>
      <w:r>
        <w:t>Die Beschwerdeführerin rügt weiter eine Verletzung der Begründungspflicht.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festgestellt, die Furcht vor negativen Reaktionen seitens Verwandter sei gegenstandslos, da der Vollzug der Wegweisung bis zum Abschluss des Verfahrens des Ehemannes sistiert werde. Sodann handle es sich beim Schreiben der Nachbarn sowie der Mitgliedschaftsbestätigung um Gefälligkeitsschreiben. Damit hat die Vorinstanz hinreichend dargetan, weshalb keine Hinweise dafür vorliegen würden, dass seit Abschluss des ersten Asylverfahrens Ereignisse eingetreten sind, welche die Flüchtlingseigenschaft zu begründen vermöchten. Die Beschwerde selbst zeigt denn auch, dass eine sachgerechte Anfechtung möglich war.</w:t>
      </w:r>
    </w:p>
    <w:p>
      <w:r>
        <w:rPr>
          <w:b/>
        </w:rPr>
        <w:t>E. 5.4</w:t>
      </w:r>
    </w:p>
    <w:p>
      <w:r>
        <w:t>Auch die weitere Rüge, die Vorinstanz habe den Sachverhalt nicht richtig und vollständig abgeklärt, geht fehl. Die Ansicht der Beschwerdeführerin, die Vorinstanz hätte zwingend abklären müssen, ob die eingereichten Beweismittel tatsächlich Gefälligkeitsleistungen seien, richtet sich nicht gegen die Sachverhaltsfeststellung der Vorinstanz, sondern gegen die Würdigung des Beweismittels. Darauf ist nachfolgend einzugehen. Sodann führt die Beschwerdeführerin auch nicht ansatzweise aus, aus welchen Gründen vorliegend eine ergänzende Anhörung oder eine Botschaftsabklärung hätte durchgeführt werden müssen. Solches ist auch nicht ersichtlich.</w:t>
      </w:r>
    </w:p>
    <w:p>
      <w:r>
        <w:rPr>
          <w:b/>
        </w:rPr>
        <w:t>E. 6.1</w:t>
      </w:r>
    </w:p>
    <w:p>
      <w:r>
        <w:t>Gemäss aArt.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6.2</w:t>
      </w:r>
    </w:p>
    <w:p>
      <w:r>
        <w:t>Bei der Prüfung, ob Hinweise auf eine Verfolgung im Sinne von aArt. 32 Abs. 2 Bst. e AsylG vorliegen, welche geeignet sind, die Flüchtlingseigenschaft zu begründen, ist praxisgemäss von einem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(BVGE 2009/53 E. 4.2 S. 769, BVGE 2008/57 E. 3.2 S. 780).</w:t>
      </w:r>
    </w:p>
    <w:p>
      <w:r>
        <w:rPr>
          <w:b/>
        </w:rPr>
        <w:t>E. 6.3</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Die Furcht vor negativen Reaktionen seitens Verwandter sei gegenstandslos, da der Vollzug der Wegweisung bis zum Abschluss des Verfahrens des Ehemannes sistiert werde. Sodann handle es sich sowohl beim Schreiben der Nachbarn als auch bei der Mitgliedschaftsbestätigung um Gefälligkeitsschreiben.</w:t>
      </w:r>
    </w:p>
    <w:p>
      <w:r>
        <w:rPr>
          <w:b/>
        </w:rPr>
        <w:t>E. 6.4</w:t>
      </w:r>
    </w:p>
    <w:p>
      <w:r>
        <w:t>In der Rechtsmitteleingabe hält die Beschwerdeführerin daran fest, es würden Hinweise auf Verfolgung vorliegen. Der vorinstanzliche Schluss ist indes nicht zu beanstanden. In der angefochtenen Verfügung wird dargelegt, aus welchen Gründen keine Hinweise auf Verfolgung gegeben sind. Was in der Rechtsmitteleingabe dagegen vorgebracht wird, ist nicht geeignet, diesen Schluss in Frage zu ziehen. Namentlich wird lediglich behauptet und in keiner Weise substantiiert dargetan, inwiefern der Qualifizierung der eingereichten Beweismittel willkürlich, das heisst nicht nachvollziehbar und ohne vernünftiges Argument, sein soll. Solches ist auch nicht ersichtlich. Die Vorinstanz hat plausibel dargelegt, bei beiden Schreiben handle es sich nicht um amtliche Schreiben, weshalb diesen privaten Schreiben kein Beweiswert zukomme. Die Vorinstanz ist somit auf das das zweite Asylgesuch der Beschwerdeführerin zu Recht nicht eingetreten.</w:t>
      </w:r>
    </w:p>
    <w:p>
      <w:r>
        <w:rPr>
          <w:b/>
        </w:rPr>
        <w:t>E. 7</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demnach zu Recht verfügt.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9.1</w:t>
      </w:r>
    </w:p>
    <w:p>
      <w:r>
        <w:t>Nach Art. 83 Abs. 3 AuG ist der Vollzug nicht zulässig, wenn völkerrechtliche Verpflichtungen der Schweiz einer Weiterreise des Ausländers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den Akten ergeben sich konkrete Anhaltspunkte dafür, dass sie für den Fall einer Ausschaffung in die Türkei dort mit beachtlicher Wahrscheinlichkeit einer nach Art. 3 EMRK oder Art. 1 FoK verbotenen Strafe oder Behandlung ausgesetzt wäre. Der Vollzug der Wegweisung ist somit zulässig.</w:t>
      </w:r>
    </w:p>
    <w:p>
      <w:r>
        <w:rPr>
          <w:b/>
        </w:rPr>
        <w:t>E. 9.2</w:t>
      </w:r>
    </w:p>
    <w:p>
      <w:r>
        <w:t>Nach Art. 83 Abs. 4 AuG kann der Vollzug für Ausländer unzumutbar sein, wenn sie im Heimat- oder Herkunftsstaat auf Grund von Situationen wie Krieg, Bürgerkrieg, allgemeiner Gewalt und medizinischer Notlage konkret gefährdet sind. In der Türkei herrscht keine Situation allgemeiner Gewalt, weshalb von der generellen Zumutbarkeit des Wegweisungsvollzugs dorthin ausgegangen wird. Konkrete Anhaltspunkte dafür, dass die Beschwerdeführerin bei einer Rückkehr einer Gefährdungssituation ausgesetzt wäre oder aus individuellen Gründen wirtschaftlicher, sozialer oder gesundheitlicher Natur in eine existenzbedrohende Situation geraten würde, liegen keine vor. Da das Verfahren der Beschwerdeführerin mit demjenigen ihres Ehemannes koordiniert ergeht, ist auf die Ausführungen zur Rückkehr der Beschwerdeführerin als alleinstehende Frau nicht weiter einzugehen. Der Vollzug der Wegweisung erweist sich somit als zumutbar.</w:t>
      </w:r>
    </w:p>
    <w:p>
      <w:r>
        <w:rPr>
          <w:b/>
        </w:rPr>
        <w:t>E. 9.3</w:t>
      </w:r>
    </w:p>
    <w:p>
      <w:r>
        <w:t>Die Beschwerdeführerin verfügt über eine türkische Identitätskarte, weshalb der Vollzug der Wegweisung auch als möglich zu bezeichnen ist (Art. 83 Abs. 2 AuG).</w:t>
      </w:r>
    </w:p>
    <w:p>
      <w:r>
        <w:rPr>
          <w:b/>
        </w:rPr>
        <w:t>E. 9.4</w:t>
      </w:r>
    </w:p>
    <w:p>
      <w:r>
        <w:t>Zusammenfassend hat die Vorinstanz den Wegweisungsvollzug zu Recht als zulässig, zumutbar und möglich erachtet. Die Anordnung einer vorläufigen Aufnahme fällt damit ausser Betracht (Art. 83 Abs. 1-4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