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E-1138/2018 vom 13. Juli 2021</w:t>
      </w:r>
    </w:p>
    <w:p>
      <w:r>
        <w:t>Bundesverwaltungsgericht, 2021-07-13, FR</w:t>
      </w:r>
    </w:p>
    <w:p>
      <w:r>
        <w:rPr>
          <w:b/>
        </w:rPr>
        <w:t xml:space="preserve">Quelle: </w:t>
      </w:r>
      <w:r>
        <w:t>https://mcp.opencaselaw.ch/entscheid/bvger_E-1138_2018</w:t>
      </w:r>
    </w:p>
    <w:p>
      <w:r>
        <w:t>FR: TAF E-1138/2018 du 13 juillet 2021</w:t>
      </w:r>
    </w:p>
    <w:p>
      <w:r>
        <w:t>IT: TAF E-1138/2018 del 13 luglio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Les recourants ont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établi la crédibilité et le sérieux de leurs motifs.</w:t>
      </w:r>
    </w:p>
    <w:p>
      <w:r>
        <w:rPr>
          <w:b/>
        </w:rPr>
        <w:t>E. 3.2</w:t>
      </w:r>
    </w:p>
    <w:p>
      <w:r>
        <w:t>En effet, il n'est pas vraisemblable que le recourant se soit trouvé en butte à l'hostilité et aux sévices graves de la police pour avoir tenté de se procurer un double de son attestation d'études, dans les conditions qu'il a décrites. Cette démarche ne pouvait être considérée comme une manifestation d'opposition aux autorités ; elle n'était en rien susceptible de faire apparaître l'intéressé comme source d'un danger de nature politique pour l'Etat ou un de ses organes. Le fait que le recourant ait agi en justice n'y change rien : en effet, si cette action pouvait constituer une gêne pour la direction de son école, il était facile à celle-ci de s'y opposer ou d'adopter une attitude dilatoire, ce qu'elle aurait d'ailleurs fait ; de plus, répondre à la demande du recourant et lui délivrer le document qu'il avait réclamé ne pouvait causer aucun tort ou problème aux autorités scolaires. Dans ce contexte, il n'est pas crédible que l'intéressé ait été enlevé et torturé par des policiers, qui n'auraient de plus pas pris la peine de dissimuler leur qualité. Le rapport médical produit ne fait d'ailleurs pas mention de sévices, mais uniquement d'un traitement de caries ; l'argument du recourant, selon lequel le dentiste n'a pas osé décrire la réalité du traumatisme subi par crainte de conséquences pour lui-même, ne repose sur aucun indice tangible. Le Tribunal constate également que les deux visites de la police aux parents de l'épouse après le départ des intéressés ne sont en rien attestées ; à supposer qu'elles aient eu lieu, leur motif est du reste inconnu.</w:t>
      </w:r>
    </w:p>
    <w:p>
      <w:r>
        <w:rPr>
          <w:b/>
        </w:rPr>
        <w:t>E. 3.3</w:t>
      </w:r>
    </w:p>
    <w:p>
      <w:r>
        <w:t>Les pièces produites établissent certes que le recourant a agi en justice, mais ne confirment en rien les autres problèmes prétendument rencontrés. La liste de signatures déposée, dont la raison d'être reste indéterminée, n'atteste pas davantage la réalité des risques qu'il encourrait.</w:t>
      </w:r>
    </w:p>
    <w:p>
      <w:r>
        <w:rPr>
          <w:b/>
        </w:rPr>
        <w:t>E. 3.4</w:t>
      </w:r>
    </w:p>
    <w:p>
      <w:r>
        <w:t>Cela étant, la question du motif de la persécution alléguée se pose également. Les raisons pour lesquelles les policiers auraient maltraité le recourant ne sont en effet pas claires. La démarche qu'il a entreprise ne pouvait être interprétée comme une manifestation politique d'opposition, ainsi qu'il a été relevé (cf. consid. 3.2). Par ailleurs, l'hypothèse selon laquelle les agents auraient voulu complaire au directeur de l'école, qui aurait été leur ami, ne peut pas non plus être retenue : cela n'aurait pas justifié qu'ils aillent jusqu'à torturer le recourant à visage découvert. L'intéressé argue certes que l'attitude du directeur et des policiers trouverait sa cause dans sa qualité de Kurde, invoquant ainsi une persécution basée sur son origine ethnique. Les droits des minorités ethniques et religieuses se sont cependant améliorés en Géorgie, de sorte que le seul fait que le recourant soit kurde ainsi que de religion orthodoxe et son épouse kurde d'appartenance yézidie n'est pas en soi pertinent pour l'octroi de l'asile. S'agissant spécifiquement de la communauté kurde yézidie, elle ne regroupe guère que 20.000 personnes, soit 0,4% de la population. Si son image est certes négative auprès d'une partie des Géorgiens de souche, l'intégration de ce groupe est cependant satisfaisante et il ne fait pas l'objet de discriminations flagrantes ; ses droits culturels et religieux sont protégés et respectés par l'autorité. De plus, il n'apparaît pas que l'appartenance des recourants à une minorité ethnique ou religieuse les empêche concrètement de faire valoir leurs droits devant les autorités géorgiennes compétentes (cf. à ce sujet arrêt E-3067/2018 du 1er octobre 2020 consid. 5.2.4 et réf. cit.). Les intéressés n'ont d'ailleurs pas fait état de problèmes sérieux causés par leur extraction kurde, mais uniquement de difficultés anciennes avec la police ou de discriminations professionnelles et culturelles, dont le manque de gravité ne permet pas de retenir la pertinence en matière d'asile. En plus, ainsi qu'il a déjà été relevé, le récit de l'époux comporte plusieurs éléments incohérents et illogiques qui ne permettent pas d'en retenir la crédibilité. Le Tribunal constate d'ailleurs que l'existence des sévices allégués n'est en rien établie, le rapport médical produit ne faisant état que d'un traitement de caries, sans aucune référence à une quelconque lésion traumatique.</w:t>
      </w:r>
    </w:p>
    <w:p>
      <w:r>
        <w:rPr>
          <w:b/>
        </w:rPr>
        <w:t>E. 3.5</w:t>
      </w:r>
    </w:p>
    <w:p>
      <w:r>
        <w:t>En conclusion, les recourants n'ont pas pu démontrer la vraisemblance de leurs motifs et des raisons qui les auraient déterminés au départ ; celles-ci restent indéterminées. Aucun facteur ne permet de retenir qu'ils été victimes d'une persécution au sens de l'art. 3 LAsi. 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w:t>
      </w:r>
    </w:p>
    <w:p>
      <w:r>
        <w:rPr>
          <w:b/>
        </w:rPr>
        <w:t>E. 6.5</w:t>
      </w:r>
    </w:p>
    <w:p>
      <w:r>
        <w:t>En l'occurrence, le Tribunal constate que les intéressés n'ont pas établi la haute probabilité d'un risque de cette nature. Dès lors,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Il est notoire que la Géorgie, en dépit des tensions encore présentes dans les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l'occurrence, il convient d'examiner si l'état de santé des recourants est constitutif d'un empêchement à l'exécution de leur renvoi, sous l'angle de la disposition précitée.</w:t>
      </w:r>
    </w:p>
    <w:p>
      <w:r>
        <w:rPr>
          <w:b/>
        </w:rPr>
        <w:t>E. 7.3.1</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7.3.2</w:t>
      </w:r>
    </w:p>
    <w:p>
      <w:r>
        <w:t>En l'espèce, le recourant est atteint de troubles oculaires (blépharite et kératome bilatéral), pour lesquels aucun traitement particulier ne semble requis, et suit un traitement de reconstruction dentaire depuis plusieurs années. Il a été opéré au genou gauche, en août 2017, pour une synovite, une lésion du ménisque et une atteinte rotulienne ; ces affections n'ont pas laissé de séquelles. L'état de santé de l'intéressé, nullement aigu, apparaît dès lors compatible avec l'exécution du renvoi, aucun de ses problèmes de santé ne mettant sa vie ou son intégrité physique en danger.</w:t>
      </w:r>
    </w:p>
    <w:p>
      <w:r>
        <w:rPr>
          <w:b/>
        </w:rPr>
        <w:t>E. 7.3.3</w:t>
      </w:r>
    </w:p>
    <w:p>
      <w:r>
        <w:t>Quant à l'épouse, elle est atteinte d'un état dépressif de gravité moyenne, selon le rapport médical du (...) mars 2021, et souffre d'une modification durable de la personnalité après une expérience de catastrophe. Selon les rapports du (...) mars et du (...) août 2018, elle manifestait également des symptômes de PTSD, qui ne sont cependant plus évoqués dans les rapports plus récents. Si sa tentative de suicide n'est pas attestée, des tendances suicidaires persistantes sont toutefois présentes, ainsi qu'en attestent les rapports du (...) juillet 2020 et du (...) mars 2021. Le traitement dure depuis septembre 2016, date à laquelle l'intéressée a été hospitalisée en urgence en psychiatrie ; depuis lors, les rapports médicaux successifs ne font pas apparaître de modifications fondamentales de son état, le diagnostic restant le même, hormis celui de PTSD. L'état de la recourante s'est « chronifié » à partir de 2020 et a connu une péjoration dans les derniers mois, en raison des événements ayant affecté ses proches en Géorgie. La fausse couche qu'a connue l'intéressée en avril 2017 a fragilisé son état. La prise en charge psychiatrique régulière s'est poursuivie et la patiente s'est vu administrer des anxiolytiques et des antidépresseurs. Toutefois, en raison de ses grossesses, elle a dû cesser la prise d'antidépresseurs ; le rapport du (...) mars 2021 indique cependant que la reprise de ce traitement médicamenteux est prochaine. Il ressort également des rapports déposés que le pronostic reste réservé, même si le traitement se poursuit. La recourante est enfin atteinte d'un diabète, qui ne nécessite cependant pas de traitement complexe, mais uniquement des précautions hygiéniques et alimentaires.</w:t>
      </w:r>
    </w:p>
    <w:p>
      <w:r>
        <w:rPr>
          <w:b/>
        </w:rPr>
        <w:t>E. 7.3.4</w:t>
      </w:r>
    </w:p>
    <w:p>
      <w:r>
        <w:t>Si le thérapeute relève que le traumatisme affectant la recourante, qui se trouve à l'origine de ses troubles psychiques, pourrait être réactivé en cas de retour en Géorgie, il est cependant clair que ce traumatisme ne peut trouver son origine dans les événements dépeints par son mari, ceux-ci étant invraisemblables. Le Tribunal ne peut dès lors retenir que cette possible réactivation soit en rapport avec les faits dépeints par les intéressés. Ainsi que le relèvent les différents rapports médicaux, il est en revanche probable qu'ils découlent de son passé familial difficile : en effet, son père, alcoolique et malade mental, lui aurait infligé de mauvais traitements durant l'enfance, dont elle conserve aujourd'hui des séquelles, ainsi que l'ont relevé tous les rapports médicaux produits depuis le dépôt du recours. En outre, il aurait commis une tentative de suicide dont sa fille aurait été témoin et trois membres de la famille se seraient donnés la mort. Or, il apparaît qu'en dépit de ce contexte familial difficile, l'intéressée a été en mesure de mener à bien des études universitaires (...) et a travaillé durant plusieurs années comme correspondante internationale d'un journal (...); elle a également animé une association (...) et dirigé une agence (...) (cf. procès-verbal [p-v] de l'audition du 5 janvier 2016, pts 1.17.04 et 1.17.05 ; p-v de l'audition du 28 avril 2017, question 8 ; rapports médicaux des (...) mars 2018, (...) août 2018, (...) avril 2019, (...) juillet 2020 et (...) mars 2021). Elle n'aurait pas été en mesure de connaître ces succès universitaires et une telle carrière professionnelle, si elle n'avait pas su faire face aux traumatismes infligés durant l'enfance. Dans ce contexte, il n'apparaît pas que le retour de la recourante en Géorgie soit de nature à l'exposer à un risque grave pour sa santé psychique.</w:t>
      </w:r>
    </w:p>
    <w:p>
      <w:r>
        <w:rPr>
          <w:b/>
        </w:rPr>
        <w:t>E. 7.4</w:t>
      </w:r>
    </w:p>
    <w:p>
      <w:r>
        <w:t>Par ailleurs, le système de santé géorgien est en mesure de prendre en charge les troubles de l'intéressée (cf. arrêt du TAF E-5446/2019 du 7 avril 2020 consid. 4.3.2 et réf. cit.). En effet, la Géorgie dispose de structures de soins de nature à prendre en charge les troubles psychiques, ainsi que d'une couverture d'assurance-maladie gratuite (le "Universal Health Care", ci-après : UHC) pour les groupes dits vulnérables. En conséquence, et contrairement à ce qu'elle soutient dans son recours, la recourante pourra accéder, dans son pays d'origine, aux traitements et médicaments qui lui sont nécessaires et bénéficier d'une couverture financière de ceux-ci, du moins en grande partie, par l'UHC ; elle pourra prétendre à des soins conformes aux standards fixés par la jurisprudence (cf. arrêt E-3005/2019 du 1er juin 2021 consid. 7.6). Le Tribunal rappelle que ce système de santé a connu une importante restructuration ces dernières années et de grands progrès ont été réalisés. Depuis 2013, l'UHC garantit une couverture d'assurance-maladie gratuite pour toutes les personnes qui en étaient auparavant dépourvues. Depuis mai 2017, l'UHC prend en considération le revenu de chacun pour déterminer le montant de la prise en charge financière. Les personnes disposant d'un revenu élevé sont exclues de l'assurance universelle, tandis que celles au revenu moyen y ont un accès limité. Les groupes vulnérables, les enfants et les retraités bénéficient de toutes les prestations de l'UHC. Il existe également un programme d'aide sociale pour les personnes vivant sous le seuil de pauvreté, prévoyant notamment une couverture d'assurance-maladie gratuite.</w:t>
      </w:r>
    </w:p>
    <w:p>
      <w:r>
        <w:rPr>
          <w:b/>
        </w:rPr>
        <w:t>E. 7.5</w:t>
      </w:r>
    </w:p>
    <w:p>
      <w:r>
        <w:t>Le Tribunal reconnaît que le retour des recourants en Géorgie exigera d'eux des efforts d'une certaine importance, d'autant plus qu'ils seront accompagnés de trois jeunes enfants. Ainsi, ils devront subvenir à leurs besoins et à ceux de leurs enfants, en réintégrant le marché du travail. Par ailleurs, la recourante devra s'assurer d'avoir un accès aux médicaments et soins qui lui sont nécessaires. Sans mésestimer ces difficultés, de même que celles socio-économiques (qui sont le lot de la population géorgienne au quotidien), le Tribunal considère qu'un certain nombre de facteurs positifs demeurent présents en l'espèce. En effet, comme relevé, la recourante dispose d'une excellente formation et d'une importante expérience professionnelle dans des domaines variés, à savoir la finance, le journalisme et la gestion d'entreprise. Quant à son mari, s'il n'a pas fait d'études universitaires, il est titulaire de deux diplômes de danseur professionnel et a travaillé comme électricien et chef cuisinier (cf. p-v de l'audition du 5 janvier 2016, pt 1.17.04). Par ailleurs, les intéressés ont vécu à Tbilissi avant leur départ, la recourante depuis 2005 et son mari depuis 2014, ce qui simplifiera leur recherche d'emploi et, en ce qui concerne l'épouse, l'accès à un traitement médical adéquat. S'agissant d'un éventuel soutien familial, le frère de la recourante, qui réside également à Tbilissi (cf. p-v de l'audition du 5 janvier 2016, pt 3.01), sera ainsi en mesure de lui apporter une aide au moins morale et de la soutenir dans le soin de ses enfants ; il apparaît en outre que l'intéressée, qui a étudié et travaillé durant plusieurs années à Tbilissi, doit y disposer d'un réseau social et amical important. Enfin, la fourniture d'une aide au retour adéquate, sous forme de médicaments ou d'une assistance financière (art. 93 al. 1 let. d LAsi), est aussi de nature à favoriser leur réinstallation ; ils pourront également déposer une demande en vue d'obtenir, pour un laps de temps convenable, une prise en charge de la médication de l'épouse, conformément art. 73 ss OA 2 (RS 142.312).</w:t>
      </w:r>
    </w:p>
    <w:p>
      <w:r>
        <w:rPr>
          <w:b/>
        </w:rPr>
        <w:t>E. 7.6</w:t>
      </w:r>
    </w:p>
    <w:p>
      <w:r>
        <w:t>Sous l'angle du bien des enfants, le Tribunal rappelle qu'ils sont certes tous sont nés en Suisse, mais se trouvent à un âge où les relations essentielles se vivent dans le giron familial ; en raison de leur jeune âge, aucun n'a encore commencé la scolarité obligatoire. Rien ne permet ainsi d'admettre que leurs premières années en Suisse les aient à ce point imprégnés du mode de vie et du contexte culturel helvétique qu'un retour en Géorgie apparaîtrait déraisonnable. Il est légitime de penser qu'il est dans leur intérêt d'évoluer dans leur pays d'origine sans être confrontés à la difficulté supplémentaire de devoir acquérir, en sus de la langue maternelle de leurs parents, des connaissances d'une langue nationale suisse. Ils ne sont ainsi pas encore assimilés à la vie suisse et leur retour en Géorgie ne constituerait ainsi pas, selon toute probabilité, une mesure d'une dureté excessive.</w:t>
      </w:r>
    </w:p>
    <w:p>
      <w:r>
        <w:rPr>
          <w:b/>
        </w:rPr>
        <w:t>E. 7.7</w:t>
      </w:r>
    </w:p>
    <w:p>
      <w:r>
        <w:t>En conclusion, au regard de l'ensemble des circonstances du cas d'espèce, une pondération globale des éléments de la présente cause ne permet pas de considérer qu'en cas de retour dans leur pays d'origine, les recourants et leurs enfants y encourraient une mise en danger concrète au sens de l'art. 83 al. 4 LEI, ni qu'une telle mesure constituerait une violation des art. 3 et 22 de la Convention relative aux droits de l'enfant (CDE ; RS 0.107) ; l'exécution du renvoi est dès lors raisonnablement exigible.</w:t>
      </w:r>
    </w:p>
    <w:p>
      <w:r>
        <w:rPr>
          <w:b/>
        </w:rPr>
        <w:t>E. 8</w:t>
      </w:r>
    </w:p>
    <w:p>
      <w:r>
        <w:t>Par ailleurs, les recourants étant en possession de passeports valables, l'exécution du renvoi ne se heurte pas à des obstacles insurmontables d'ordre technique et s'avère également possible (cf. ATAF 2008/34 consid. 12).</w:t>
      </w:r>
    </w:p>
    <w:p>
      <w:r>
        <w:rPr>
          <w:b/>
        </w:rPr>
        <w:t>E. 9</w:t>
      </w:r>
    </w:p>
    <w:p>
      <w:r>
        <w:t>Enfin, la situation actuelle liée à la propagation du Covid-19 dans le monde ne justifie pas de sursoir au présent prononcé.</w:t>
      </w:r>
    </w:p>
    <w:p>
      <w:r>
        <w:rPr>
          <w:b/>
        </w:rPr>
        <w:t>E. 10</w:t>
      </w:r>
    </w:p>
    <w:p>
      <w:r>
        <w:t>Au vu de ce qui précède, le recours est également rejeté, en tant qu'il porte sur le principe du renvoi et l'exécution de celui-ci.</w:t>
      </w:r>
    </w:p>
    <w:p>
      <w:r>
        <w:rPr>
          <w:b/>
        </w:rPr>
        <w:t>E. 11</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doit être rejeté.</w:t>
      </w:r>
    </w:p>
    <w:p>
      <w:r>
        <w:rPr>
          <w:b/>
        </w:rPr>
        <w:t>E. 12</w:t>
      </w:r>
    </w:p>
    <w:p>
      <w:r>
        <w:t>Compte tenu de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Ce montant est entièrement couvert par l'avance de frais déjà versée.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