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E-1137/2024 vom 14. Februar 2024</w:t>
      </w:r>
    </w:p>
    <w:p>
      <w:r>
        <w:t>Bundesverwaltungsgericht, 2024-02-14, FR</w:t>
      </w:r>
    </w:p>
    <w:p>
      <w:r>
        <w:rPr>
          <w:b/>
        </w:rPr>
        <w:t xml:space="preserve">Quelle: </w:t>
      </w:r>
      <w:r>
        <w:t>https://mcp.opencaselaw.ch/entscheid/bvger_E-1137_2024_d20240214</w:t>
      </w:r>
    </w:p>
    <w:p>
      <w:r>
        <w:t>FR: TAF E-1137/2024 du 14 février 2024</w:t>
      </w:r>
    </w:p>
    <w:p>
      <w:r>
        <w:t>IT: TAF E-1137/2024 del 14 febbraio 2024</w:t>
      </w:r>
    </w:p>
    <w:p>
      <w:pPr>
        <w:pStyle w:val="Heading2"/>
      </w:pPr>
      <w:r>
        <w:t>Regeste</w:t>
      </w:r>
    </w:p>
    <w:p>
      <w:r>
        <w:t>Asile et renvoi (art. 40 en relation avec art. 6a al. 2 LAsi) | Asile et renvoi; décision du SEM du 14 février 2024</w:t>
      </w:r>
    </w:p>
    <w:p>
      <w:pPr>
        <w:pStyle w:val="Heading2"/>
      </w:pPr>
      <w:r>
        <w:t>Erwägungen</w:t>
      </w:r>
    </w:p>
    <w:p>
      <w:r>
        <w:rPr>
          <w:b/>
        </w:rPr>
        <w:t>E. 1</w:t>
      </w:r>
    </w:p>
    <w:p>
      <w:r>
        <w:t>Le recours est rejeté.</w:t>
      </w:r>
    </w:p>
    <w:p>
      <w:r>
        <w:rPr>
          <w:b/>
        </w:rPr>
        <w:t>E. 2</w:t>
      </w:r>
    </w:p>
    <w:p>
      <w:r>
        <w:t>La demande d'assistance judiciaire totale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Le greffier : Deborah D'Aveni Thierry Leibzig Expédition :</w:t>
      </w:r>
    </w:p>
    <w:p>
      <w:r>
        <w:rPr>
          <w:b/>
        </w:rPr>
        <w:t>E. 10</w:t>
      </w:r>
    </w:p>
    <w:p>
      <w:r>
        <w:t>décembre 1984 contre la torture et autres peines ou traitements cruels, inhumains ou dégradants [Conv. torture, RS 0.105]), que l'exécution du renvoi s'avère donc licite (cf. art. 83 al. 3 LEI ; ATAF 2014/28 consid.11), qu'elle est également raisonnablement exigible (art. 83 al. 4 LEI ; ATAF 2011/50 consid. 8.1‒8.3 et jurisp. cit.), dans la mesure où elle ne fait pas apparaître, en l'espèce, une mise en danger concrète des recourants, qu'en effet le Kosovo ne se trouve pas en proie à une guerre, une guerre civile ou une violence généralisée,</w:t>
      </w:r>
    </w:p>
    <w:p>
      <w:r>
        <w:t>E-1137/2024 Page 15 qu’il ne ressort pas non plus du dossier que les intéressés pourraient être mis sérieusement en danger pour des motifs qui leur seraient propres, qu’il convient à ce titre de confirmer les facteurs favorables à leur réinsertion au Kosovo, mentionnés par le SEM dans la décision attaquée (à laquelle il est renvoyé sur ce point ; cf. consid. III ch. 2 p. 7) et demeurés incontestés dans le recours, que l'exécution du renvoi est enfin possible (cf. art. 83 al. 2 LEI ; ATAF 2008/34 consid. 12 et jurisp. cit.), les recourants disposant de passeports en cours de validité leur permettant de retourner dans leur pays d'origine.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E-1137/2024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