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E-1134/2015 vom 19. März 2015</w:t>
      </w:r>
    </w:p>
    <w:p>
      <w:r>
        <w:t>Bundesverwaltungsgericht, 2015-03-19, DE</w:t>
      </w:r>
    </w:p>
    <w:p>
      <w:r>
        <w:rPr>
          <w:b/>
        </w:rPr>
        <w:t xml:space="preserve">Quelle: </w:t>
      </w:r>
      <w:r>
        <w:t>https://mcp.opencaselaw.ch/entscheid/bvger_E-1134_2015</w:t>
      </w:r>
    </w:p>
    <w:p>
      <w:r>
        <w:t>FR: TAF E-1134/2015 du 19 mars 2015</w:t>
      </w:r>
    </w:p>
    <w:p>
      <w:r>
        <w:t>IT: TAF E-1134/2015 del 19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Die Beschwerde ist frist- und - bis auf den sprachlichen Aspekt (vgl. E. 1.3) -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der Beschwerdeführerin genügend klare, sinngemässe Rechtsbegehren und deren Begründung zu entnehmen sind und ohne Weiteres darüber befunden werden kann.</w:t>
      </w:r>
    </w:p>
    <w:p>
      <w:r>
        <w:rPr>
          <w:b/>
        </w:rPr>
        <w:t>E. 1.4</w:t>
      </w:r>
    </w:p>
    <w:p>
      <w:r>
        <w:t>Das Verfahren richtet sich nach dem VwVG, soweit das VGG und das AsylG nichts anderes bestimmen (Art. 37 VGG und Art. 6 AsylG).</w:t>
      </w:r>
    </w:p>
    <w:p>
      <w:r>
        <w:rPr>
          <w:b/>
        </w:rPr>
        <w:t>E. 1.5</w:t>
      </w:r>
    </w:p>
    <w:p>
      <w:r>
        <w:t>Die Beschwerde erweist sich - wie nachfolgend aufgezeigt - als offensichtlich unbegründet, weshalb über die Beschwerde in einzelrichterlicher Zuständigkeit mit Zustimmung eines zweiten Richters oder einer zweiten Richterin zu entscheiden ist (Art. 111 Bst. e AsylG). 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 12, 19, 20, 41 Abs. 2, 52 und 68 AsylG sowie Art. 10 der Asylverordnung 1 vom 11. August 1999 über Verfahrensfragen (AsylV 1, SR 142.311) in der bisherigen Fassung des Gesetzes gelten. Wird demnach im vorliegenden Beschwerdeverfahren auf das Asylgesetz oder Verordnungstexte verwiesen, bezieht sich dies stets auf die bisherige Fassung der entsprechenden Bestimmungen.</w:t>
      </w:r>
    </w:p>
    <w:p>
      <w:r>
        <w:rPr>
          <w:b/>
        </w:rPr>
        <w:t>E. 4.1</w:t>
      </w:r>
    </w:p>
    <w:p>
      <w:r>
        <w:t>Gemäss aArt. 19 Abs. 1 AsylG kann ein Asylgesuch im Ausland bei einer Schweizerischen Vertretung gestellt werden, welche es mit einem Bericht an das Bundesamt überweist (aArt. 20 Abs. 1 AsylG). Die Schweizerische Vertretung führt mit der asylsuchenden Person in der Regel eine Befragung durch (aArt. 10 Abs. 1 AsylV 1). Ist dies nicht möglich, so wird die asylsuchende Person von der Vertretung aufgefordert, ihre Asylgründe schriftlich festzuhalten (aArt. 10 Abs. 2 AsylV 1). Die Schweizerische Vertretung überweist dem Bundesamt das Befragungsprotokoll oder das schriftliche Asylgesuch sowie weitere zweckdienliche Unterlagen und einen ergänzenden Bericht, der ihre Beurteilung des Asylgesuchs enthält (aArt. 10 Abs. 3 AsylV 1).</w:t>
      </w:r>
    </w:p>
    <w:p>
      <w:r>
        <w:rPr>
          <w:b/>
        </w:rPr>
        <w:t>E. 4.2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in jedem Fall gehalten, das Absehen von einer Befragung in der Verfügung über das Asylgesuch zu begründen (vgl. BVGE a.a.O. E. 5.6 f.).</w:t>
      </w:r>
    </w:p>
    <w:p>
      <w:r>
        <w:rPr>
          <w:b/>
        </w:rPr>
        <w:t>E. 4.3</w:t>
      </w:r>
    </w:p>
    <w:p>
      <w:r>
        <w:t>Vorliegend sah sich die Botschaft in Khartum nicht in der Lage, eine persönliche Befragung der Beschwerdeführerin durchzuführen. Das BFM begründete diesen Verzicht mit dem begrenzten Personalbestand der Botschaft sowie den fehlenden Voraussetzungen im sicherheitstechnischen und räumlichen Bereich. Das Bundesamt ersuchte die Beschwerdeführerin deshalb um Einreichung einer ergänzenden Stellungnahme zwecks Vervollständigung des rechtserheblichen Sachverhaltes. Die Beschwerdeführerin nahm in der Folge ausführlich zu den gestellten Fragen Stellung und machte persönliche, auf sie konkret bezogene Angaben. Vorliegend erhielt sie somit rechtsgenügend Gelegenheit, ihre Asylgründe darzulegen und bei der Erhebung und Ergänzung des massgebenden Sachverhalts mitzuwirken. Die Botschaft verzichtete darauf, in einem ergänzenden Bericht ihre Beurteilung des Asylgesuchs darzulegen, und überwies die Unterlagen dem BFM ohne Kommentar.</w:t>
      </w:r>
    </w:p>
    <w:p>
      <w:r>
        <w:rPr>
          <w:b/>
        </w:rPr>
        <w:t>E. 5</w:t>
      </w:r>
    </w:p>
    <w:p>
      <w:r>
        <w:t>Das BFM beziehungsweise SEM kann ein im Ausland gestelltes Asylgesuch ablehnen, wenn die asylsuchende Person keine Verfolgung glaubhaft machen kann oder ihr die Aufnahme in einem Drittstaat zugemutet werden kann (vgl. Art. 3, Art. 7 und aArt. 52 Abs. 2 AsylG). Nach aArt. 20 Abs. 2 AsylG bewilligt es einer asylsuchenden Person die Einreise in die Schweiz zur Abklärung des Sachverhaltes, wenn ihr nicht zugemutet werden kann, im Wohnsitz- oder Aufenthaltsstaat zu bleiben oder in ein anderes Land auszureisen (vgl. BVGE 2007/19 E. 3.2;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2004 Nr. 20 E. 3.b), mithin die Prüfung der Fragen, ob eine Gefährdung im Sinne von Art. 3 AsylG glaubhaft gemacht wird und ob der Verbleib am Aufenthaltsort für die Dauer der Sachverhaltsabklärung zugemutet werden kann (vgl. BVGE 2011/10 E. 3.3).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als auch auf die Zumutbarkeit der Inanspruchnahme des Schutzes im Drittstaat als unzutreffend erweisen. Es ist deshalb zu prüfen, ob die asylsuchende Person im Drittstaat Schutz vor Verfolgung gefunden hat oder erlangen kann, was in der Regel zur Verweigerung der Einreisebewilligung und zur Ablehnung des Asylgesuchs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in Übereinstimmung mit der Vorinstanz zum Schluss, dass die geltend gemachten Vorbringen der Beschwerdeführerin bezüglich der geschilderten Ereignisse in ihrem Heimatland grundsätzlich nicht unglaubhaft erscheinen. Ob sie bei einer allfälligen Rückkehr nach Äthiopien einer flüchtlingsrechtlich relevanten Gefährdung ausgesetzt sein könnte, kann vorliegend jedoch offengelassen werden, da sie den (zusätzlichen) Schutz der Schweiz gemäss aArt. 52 Abs. 2 AsylG nicht benötigt, weil es ihr - wie im Nachfolgenden aufzuzeigen sein wird - trotz der zugestandenermassen nicht einfachen Bedingungen für äthiopische Flüchtlinge im Sudan zumutbar ist, im Zufluchtsland zu verbleiben.</w:t>
      </w:r>
    </w:p>
    <w:p>
      <w:r>
        <w:rPr>
          <w:b/>
        </w:rPr>
        <w:t>E. 6.2</w:t>
      </w:r>
    </w:p>
    <w:p>
      <w:r>
        <w:t>Der Sudan verfolgt eine sogenannte "encampment policy", wonach Asylsuchende und Flüchtlinge gehalten sind, sich in einem Flüchtlingslager aufzuhalten. Die sudanesischen Behörden beschränken die Bewegungsfreiheit der Flüchtlinge durch diese "encampment policy" und durch die gesetzlich vorgesehene Bestrafung von Flüchtlingen, welche die Flüchtlingslager verlassen. Trotz dieser Einschränkung lebt eine Grosszahl von Flüchtlingen in Khartum.</w:t>
      </w:r>
    </w:p>
    <w:p>
      <w:r>
        <w:rPr>
          <w:b/>
        </w:rPr>
        <w:t>E. 6.3</w:t>
      </w:r>
    </w:p>
    <w:p>
      <w:r>
        <w:t>Bezüglich der Gefahr und der von der Beschwerdeführerin geltend gemachten Befürchtung einer allfälligen Deportation nach Äthiopien ist festzustellen, dass zwar in der Tat verschiedentlich Berichte von Deportationen äthiopischer Flüchtlinge bekannt geworden sind und es angesichts der guten Beziehungen zwischen dem Sudan und Äthiopien nicht generell ausgeschlossen werden kann, dass Deportationen von Äthiopiern in ihr Heimatland stattfinden (vgl. auch hierzu Urteil des Bundesverwaltungsgerichts E 3273/2013 vom 22. Juli 2013 E. 7.3, m.w.H.). Indessen bestehen keine konkreten Anhaltpunkte dafür, dass solche Deportationen systematisch oder grossflächig durchgeführt würden. Im Sudan als Flüchtlinge registrierte beziehungsweise anerkannte Flüchtlinge werden in der Regel nicht in ihr Heimatland zurückgeführt. Verhaftungen von in Khartum lebenden Flüchtlinge kommen zwar vor. Diese Festnahmen erfolgen jedoch, nachdem sich diese Flüchtlinge gemäss sudanesischem Gesetz in den Flüchtlingslagern aufzuhalten haben und sich ihr dortiges Aufenthaltsrecht nicht aufs ganze Land, namentlich nicht auf den Grossraum Khartum, erstreckt. Das im Mai 2012 von Sudan und Äthiopien unterzeichnete Abkommen "Ethiopia-Sudan Extradition Agreement" regelt sodann den Austausch von Gefangenen, damit den Gesuchten verunmöglicht wird, sich im jeweils anderen Staat zu verstecken. Den heute verfügbaren Quellen sind keine Informationen zu entnehmen, wonach basierend auf diesem Abkommen äthiopische Flüchtlinge aus dem Sudan deportiert würden (vgl. Urteil des Bundesverwaltungsgerichts E 3273/2013, a.a.O.). Es liegen nach dem Gesagten keine Informationen vor, aufgrund welcher anzunehmen wäre, dass die sudanesischen Behörden in der jüngeren Vergangenheit flächendeckende oder systematische Deportationen von äthiopischen Flüchtlingen aus den Flüchtlingslagern nach Äthiopien vorgenommen hätten oder solche konkret für die Zukunft in Betracht ziehen würden. Anhaltspunkte dafür, dass die Beschwerdeführerin in Khartum ernsthaft eine Deportation zu befürchten hätte, indem sie etwa infolge qualifizierter regimekritischer Tätigkeiten ein erhöhtes Risikoprofil aufweisen würde, lassen sich den Akten jedenfalls nicht entnehmen. Auch spricht der langjährige Aufenthalt ihres Vaters und ihres Bruders im Sudan gegen die akute Gefahr einer Deportation. Die Beschwerdeführerin ist vom UNHCR offenbar als Flüchtling erfasst worden. Das BFM führte in seiner Verfügung zu Recht aus, dass sie nicht glaubhaft habe darlegen können, persönlich faktisch und unmittelbar bedroht zu sein, unter Verletzung des Non-Refoulement-Prinzips nach Äthiopien zurückgeschafft zu werden. Auf Beschwerdeebene wird neu geltend gemacht, neulich sei ihr Vater für zwei Tage in polizeiliche Gewahrsam genommen und vor die Wahl gestellt worden, ein Lösegeld zu bezahlen oder in sein Heimatland deportiert zu werden. Sie hätten keine Wahl gehabt und das Lösegeld für ihren Vater bezahlt, worauf er entlassen worden sei. Weder von den zuständigen sudanesischen Behörden noch vom UNHCR sei entsprechender Schutz zu erwarten gewesen. Diese neuen Vorbringen wirken plakativ und sind unsubstanziiert. Die Beschwerdeführerin hat hierzu keine Unterlagen oder zumindest eine entsprechende Bestätigung des UNHCR beigebracht, was ihr im Rahmen der zumutbaren Mitwirkungspflicht hätte möglich sein müssen. Auch wäre eine angemessene Unterstützung seitens des UNHCR zu erwarten. Demnach erscheinen die geltend gemachten Androhungen einer Deportation als nachgeschobene Steigerung des Sachverhaltes und in diesem Sinne als Anpassung an die Erwägungen in der vorinstanzlichen Verfügung. Zudem ist anzumerken, dass es zumindest zweifelhaft anmutet, dass sich der geltend gemachte Vorfall ausgerechnet neulich zugetragen haben soll, nachdem der Vater der Beschwerdeführerin seit dreissig Jahren im Sudan wohnhaft ist. Eine relevante Gefährdung der Beschwerdeführerin im Sudan ist demnach in Berücksichtigung der massgebenden Umstände nicht anzunehmen. Eine flüchtlingsrechtlich begründete Grundlage für eine Bewilligung der Einreise in die Schweiz oder die Gewährung von Asyl ist vorliegend nicht gegeben.</w:t>
      </w:r>
    </w:p>
    <w:p>
      <w:r>
        <w:rPr>
          <w:b/>
        </w:rPr>
        <w:t>E. 6.4</w:t>
      </w:r>
    </w:p>
    <w:p>
      <w:r>
        <w:t>Wenngleich die Beschwerdeführerin Schwierigkeiten bei der Arbeitssuche geltend macht, ist es ihr und ihrem Bruder offenbar bisher gelungen, ein Auskommen zu finden. Damit ist davon auszugehen, dass sie über die nötigen finanziellen Mittel zur Deckung des Existenzbedarfs für sich verfügt. Insgesamt ist nicht davon auszugehen, dass sich die Beschwerdeführerin in einer existenziellen Notlage befindet beziehungsweise der weitere Aufenthalt im Sudan mit überwiegender Wahrscheinlichkeit zu einer solchen führen wird. Sollten diese Mittel dennoch nicht genügen, könnte sie zusammen mit ihrem Vater und Bruder einer allfälligen Versorgungsnotlage dadurch entgehen, dass sie sich erneut an das UNHCR wenden und sich einem Flüchtlingslager zuteilen lassen würden. Auch wenn anerkanntermassen die Situation in den Lagern teils prekär ist, kann dennoch davon ausgegangen werden, dass zumindest die Grundversorgung dort gewährleistet ist. Bezüglich einer allfälligen Befürchtung, ein Aufenthalt in den Flüchtlingscamps sei nicht sicher beziehungsweise Opfer einer Verschleppung zu werden, ist schliesslich festzuhalten, dass zwar verschiedene Fälle von Flüchtlingen, die von Entführungen aus sudanesischen Flüchtlingslagern betroffen sind, dokumentiert sind; dabei ist aber jeweils die Rede von Eritreern, nicht von Äthiopiern (vgl. Schweizerische Flüchtlingshilfe [SFH], Eritrea: Entführungen, Erpressungen, Organhandel, 5. Juli 2012; UNHCR, Refugees and the Rashaida: Human smuggling and trafficking from Eritrea to Sudan and Egypt, März 2013; Reuters Alertnet, Traffickers attacking Eritrean refugees in Sudan - rights groups, 31. Januar 2013).</w:t>
      </w:r>
    </w:p>
    <w:p>
      <w:r>
        <w:rPr>
          <w:b/>
        </w:rPr>
        <w:t>E. 6.5</w:t>
      </w:r>
    </w:p>
    <w:p>
      <w:r>
        <w:t>Sodann ist angesichts des langjährigen Aufenthaltes des Vaters und des Bruders der Beschwerdeführerin im Sudan auf eine relativ grosse Beziehungsnähe zu diesem Drittstaat zu schliessen und anzunehmen, dass sie sich dort weiterhin integrieren kann. Demgegenüber weist sie eigenen Angaben zufolge zur Schweiz keine Bindung auf.</w:t>
      </w:r>
    </w:p>
    <w:p>
      <w:r>
        <w:rPr>
          <w:b/>
        </w:rPr>
        <w:t>E. 6.6</w:t>
      </w:r>
    </w:p>
    <w:p>
      <w:r>
        <w:t>Zusammenfassend ist festzuhalten, dass die Beschwerdeführerin keine hinreichenden Gründe darzutun vermag, aus welchen die Zumutbarkeit ihres weiteren Aufenthalts im Sudan zu verneinen wäre. Demnach benötigt sie den subsidiären Schutz der Schweiz gemäss aArt. 52 Abs. 2 AsylG nicht und der weitere Verbleib im Sudan ist ihr zumutbar. Die Vorbringen in der Beschwerde vermögen den Ausführungen und Einschätzungen in der angefochtenen Verfügung in entscheidrelevanter Hinsicht offenkundig keine stichhaltigen Gründe entgegenzuhalten. Das BFM hat demnach der Beschwerdeführerin zu Recht die Einreise in die Schweiz nicht bewilligt beziehungsweise ihr Asylgesuch abgelehnt.</w:t>
      </w:r>
    </w:p>
    <w:p>
      <w:r>
        <w:rPr>
          <w:b/>
        </w:rPr>
        <w:t>E. 7</w:t>
      </w:r>
    </w:p>
    <w:p>
      <w:r>
        <w:t>Aus diesen Erwägungen ergibt sich, dass die angefochtene Verfügung Bundesrecht nicht verletzt sowie den rechtserheblichen Sachverhalt richtig und vollständig feststellt (Art. 106 Abs. 1 AsylG). Die Beschwerde ist demnach abzuweisen. (Mit Urteil gleichen Datums weist das Bundesverwaltungsgericht auch die gegen die vorinstanzliche Verfügung vom 29. Dezember 2014 erhobene Beschwerde des Vaters und des Bruders der Beschwerdeführerin ab [E-1188/2015]).</w:t>
      </w:r>
    </w:p>
    <w:p>
      <w:r>
        <w:rPr>
          <w:b/>
        </w:rPr>
        <w:t>E. 8</w:t>
      </w:r>
    </w:p>
    <w:p>
      <w:r>
        <w:t>Bei diesem Ausgang des Verfahrens wären die Kosten von Fr. 600.- grundsätzlich der Beschwerdeführerin aufzuerlegen (Art. 63 Abs. 1 und 5 VwVG, Art. 1-3 des Reglements vom 21. Februar 2008 über die Kosten und Entschädigungen vor dem Bundesverwaltungsgericht [VGKE, SR 173.320.2]). Aus verwaltungsökonomischen Gründen ist indessen auf deren Erhebung zu verzichten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