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E-112/2019 vom 8. Februar 2019</w:t>
      </w:r>
    </w:p>
    <w:p>
      <w:r>
        <w:t>Bundesverwaltungsgericht, 2019-02-08, DE</w:t>
      </w:r>
    </w:p>
    <w:p>
      <w:r>
        <w:rPr>
          <w:b/>
        </w:rPr>
        <w:t xml:space="preserve">Quelle: </w:t>
      </w:r>
      <w:r>
        <w:t>https://mcp.opencaselaw.ch/entscheid/bvger_E-112_2019</w:t>
      </w:r>
    </w:p>
    <w:p>
      <w:r>
        <w:t>FR: TAF E-112/2019 du 8 février 2019</w:t>
      </w:r>
    </w:p>
    <w:p>
      <w:r>
        <w:t>IT: TAF E-112/2019 del 8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Art. 48 Abs. 1 sowie Art. 52 Abs. 1 VwVG). Auf die Beschwerde ist einzutreten.</w:t>
      </w:r>
    </w:p>
    <w:p>
      <w:r>
        <w:rPr>
          <w:b/>
        </w:rPr>
        <w:t>E. 1.3</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5.1</w:t>
      </w:r>
    </w:p>
    <w:p>
      <w:r>
        <w:t>Der Beschwerdeführer beantragt, angesichts der sich seit dem 26. Oktober 2018 entscheidend veränderten Lage in Sri Lanka insbesondere aufgrund der verfassungswidrigen Ernennung des ehemaligen Präsidenten Mahinda Rajapaksa zum Premierminister sei die Verfügung der Vorinstanz vom 28. November 2018 aufzuheben und zur Neubeurteilung an die Vor-instanz zurückzuweisen.</w:t>
      </w:r>
    </w:p>
    <w:p>
      <w:r>
        <w:rPr>
          <w:b/>
        </w:rPr>
        <w:t>E. 5.2</w:t>
      </w:r>
    </w:p>
    <w:p>
      <w:r>
        <w:t>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4. Januar 2019). In der Beschwerdeschrift wird zudem nicht substantiiert dargelegt, inwieweit der Beschwerdeführer von der jüngsten Lageentwicklung in Sri Lanka betroffen sein könnte. Demnach liegt keine wesentliche Veränderung der Lage in Sri Lanka vor, welche eine Aufhebung der Verfügung vom 28. November 2018 und eine Rückweisung der Sache an die Vorinstanz erforderlich machen würde. Der diesbezügliche Antrag ist abzuweisen.</w:t>
      </w:r>
    </w:p>
    <w:p>
      <w:r>
        <w:rPr>
          <w:b/>
        </w:rPr>
        <w:t>E. 6.1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6.3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6.4</w:t>
      </w:r>
    </w:p>
    <w:p>
      <w:r>
        <w:t>Der Beschwerdeführer rügt, dass zwischen der BzP und der Anhörung eine lange Zeitspanne (drei Jahre) verstrichen sei und sich in der Zwischenzeit sein Gesundheitszustand verschlechtert hätte. Das SEM hätte sich bei der Anhörung jedoch nicht erneut nach seinem Gesundheitszustand erkundigt und damit seinen Anspruch auf rechtliches Gehör verletzt. Diesbezüglich ist im Sinne der Ausführungen in der Beschwerde festzuhalten, dass es durchaus wünschenswert ist, wenn zwischen der BzP und der Anhörung ein relativ kurzer Zeitraum liegt, es aber keine zwingende, mit Rechtsfolgen versehene gesetzliche Verpflichtung des SEM gibt, die Anhörung innerhalb eines gewissen Zeitraums nach der BzP durchzuführen. Angesichts der nicht vorhersehbaren und durch die schweizerischen Asylbehörden nicht steuerbaren Geschäftslast wäre die Erwartung, solche Ordnungsfristen könnten ungeachtet der Anzahl der gestellten Asylgesuche ausnahmslos eingehalten werden, alles andere als realistisch. Der Länge des zwischen BzP und Anhörung verstrichenen Zeitraums ist indessen bei der Würdigung der Aussagen des Beschwerdeführers Rechnung zu tragen (vgl. E. 12.4.1 hiernach bzgl. der geltend gemachten Verschlechterung des Gesundheitszustandes).</w:t>
      </w:r>
    </w:p>
    <w:p>
      <w:r>
        <w:rPr>
          <w:b/>
        </w:rPr>
        <w:t>E. 6.5</w:t>
      </w:r>
    </w:p>
    <w:p>
      <w:r>
        <w:t>Des Weiteren rügt der Beschwerdeführer, das SEM habe seine Begründungspflicht verletzt, indem es die einzelnen Parteivorbringen nicht sorgfältig und ernsthaft geprüft habe und insbesondere bei der Prüfung der Risikofaktoren den vom Bundesverwaltungsgericht aufgestellten Kriterien nicht gefolgt sei. Zudem habe es die aktuelle politische und menschenrechtliche Situation in Sri Lanka nicht berücksichtigt und sich stattdessen auf ein veraltetes Lagebild berufen. Dem ist zu entgegnen, dass das SEM in der angefochtenen Verfügung nachvollziehbar und im Einzelnen hinreichend differenziert aufgezeigt hat, von welchen Überlegungen es sich hat leiten lassen. Insbesondere hat es die Prüfung der Risikofaktoren den Kriterien der Rechtsprechung des Bundesverwaltungsgerichts entsprechend vorgenommen. Der blosse Umstand, dass der Beschwerdeführer die Auffassung des SEM nicht teilt, ist keine Verletzung der Begründungspflicht. Soweit die Aktualität der Lagebeurteilung in Frage gestellt wird, wird auf die obige Erwägung 5 verwiesen.</w:t>
      </w:r>
    </w:p>
    <w:p>
      <w:r>
        <w:rPr>
          <w:b/>
        </w:rPr>
        <w:t>E. 6.6</w:t>
      </w:r>
    </w:p>
    <w:p>
      <w:r>
        <w:t>Schliesslich rügt der Beschwerdeführer, der rechtserhebliche Sachverhalt sei unvollständig und unrichtig abgeklärt worden, indem die Vorinstanz die aktuelle Lage in Sri Lanka nicht berücksichtigt habe und sich in der Beurteilung des vorliegenden Falles auf ein unvollständiges und teilweise falsches Lagebild gestützt habe. Unter Verweis auf den mit der Beschwerde eingereichten Länderbericht vom 22. Oktober 2018 und die dazugehörigen Beilagen habe sich die Menschenrechtssituation, insbesondere die Bedrohungslage für Angehörige von Risikogruppen, die aus dem Exil zurückkehren, spätestens seit den Kommunalwahlen im Februar 2018 beziehungsweise der indirekten Machtübernahme Rajapaksas, verschlechtert. Diese Rüge geht ebenfalls fehl. Die Vorinstanz hat sich im Sachverhalt und in den Erwägungen mit den eingereichten Beweismitteln sowie den Vorbringen des Beschwerdeführers eingehend auseinandergesetzt und diese vor dem Hintergrund der aktuellen Lage in Sri Lanka gewürdigt.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Sachverhaltsdarstellung. Soweit die Aktualität der Lagebeurteilung in Frage gestellt wird, wird auf die obige Erwägung 5 verwiesen.</w:t>
      </w:r>
    </w:p>
    <w:p>
      <w:r>
        <w:rPr>
          <w:b/>
        </w:rPr>
        <w:t>E. 6.7</w:t>
      </w:r>
    </w:p>
    <w:p>
      <w:r>
        <w:t>Hinsichtlich der vom Beschwerdeführer angebrachten Befürchtungen im Hinblick auf die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6.8</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7.1</w:t>
      </w:r>
    </w:p>
    <w:p>
      <w:r>
        <w:t>Der Beschwerdeführer stellt für den Fall einer materiellen Beurteilung seiner Beschwerde durch das Bundesverwaltungsgericht folgende Beweisanträge (Beschwerde S. 39 f.): Er sei erneut anzuhören, insbesondere zu seinen neu vorgebrachten Asylgründen und durch eine Person, die über ausreichende Länderhintergrundinformationen zu Sri Lanka verfüge (Antrag 1). Ihm sei vollständige Einsicht in die Vollzugsakten zu gewähren, insbesondere in jene Akten, welche von den schweizerischen und sri-lankischen Behörden im Zusammenhang mit der Ersatzreisepapierbeschaffung angelegt worden seien (Antrag 2). Die Vorinstanz sei anzuweisen, darzulegen, inwiefern die sri-lankische Gesetzgebung im Bereich Datenschutz dem Schweizer Schutzniveau entspreche und ob in diesem Zusammenhang die ihn betreffenden und an die sri-lankischen Behörden überwiesenen Daten im Sinne des Schweizer Datenschutzrechts beziehungsweise dem Schutzniveau des Schweizer Datenschutzrechts entsprechend behandelt würden (Antrag 3). Schliesslich sei die Vorinstanz anzuweisen, zu erläutern, wie er gegenüber den sri-lankischen Behörden vorzugehen habe, um Auskunft über die ihn betreffenden Daten zu erhalten. Auch wird beantragt, dass die Vorinstanz zu erläutern habe, welche Konsequenzen eine Erkundigung durch einen abgewiesenen tamilischen Asylsuchenden bei den sri-lankischen Terrorbekämpfungsbehörden nach dem Vorhandensein der ihn betreffenden Daten hätte (Antrag 4).</w:t>
      </w:r>
    </w:p>
    <w:p>
      <w:r>
        <w:rPr>
          <w:b/>
        </w:rPr>
        <w:t>E. 7.2</w:t>
      </w:r>
    </w:p>
    <w:p>
      <w:r>
        <w:t>Zunächst ist zu Antrag 1 betreffend eine erneute Anhörung auszuführen, dass hierzu kein Anlass besteht. Er wurde am 26. Oktober 2018 eingehend zu seinen Asylgründen angehört. Aufgrund der ihm obliegenden Mitwirkung (vgl. Art. 8 AsylG) war er verpflichtet, seine Asylgründe im ordentlichen Asylverfahren vor der Vorinstanz substantiiert darzutun und mit entsprechenden Beweismitteln zu belegen. Zudem ist der Sachverhalt, wie bereits erläutert, als hinreichend erstellt zu erachten, weswegen eine erneute Anhörung des Beschwerdeführers nicht angezeigt ist. Antrag 1 ist daher abzuweisen. Soweit der Beschwerdeführer Einsicht in die Vollzugsakten verlangt, ist darauf hinzuweisen, dass sein Dossier keine Vollzugsakten enthält. Antrag 2 ist daher ebenfalls abzuweisen. Soweit die Anträge mit der Reisepapierbeschaffung auf Grundlage des Migrationsabkommens zwischen der Schweiz und Sri Lanka und damit zusammenhängenden Datenschutzbestimmungen im Zusammenhang stehen, ist auf Erwägung 6.7 zu verweisen. Die Anträge 3 und 4 sind mithin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begründet ihren Entscheid damit, dass davon auszugehen sei, dass die kriminellen Machenschaften auf dem (...)markt von Privaten ausgehen würden und mithin keine staatliche Verfolgung vorliege - selbst wenn, wie vom Beschwerdeführer ausgeführt, ein Politiker hinter den Schutzgeldforderungen stehen würde. Ferner sei vorliegend kein in Art. 3 AsylG genanntes Verfolgungsmotiv ersichtlich, sondern nur ein finanzielles Verfolgungsinteresse auszumachen. Soweit der Beschwerdeführer ausführe, die Verfolger würden hinter ihm her sein, bis er das Geld bezahlen würde, überzeuge zudem nicht, zumal er eigenen Angaben zufolge seinen (...)stand vor seiner Ausreise einem Freund übergeben habe und somit auch nicht mehr im Visier der Mafia stünde. Es bestehe somit keine aktuelle Verfolgungsgefahr, was auch dadurch bestätigt werde, dass der betreffende Politiker, von dem die Erpressungen ausgegangen seien, nicht mehr für den (...)markt zuständig sei. Dass der Beschwerdeführer es unterlassen habe, sich an die Polizei zu wenden, da die Entführer vorgegeben hätten, enge Verbindungen zu den Behörden zu haben, könne ebenso wenig angeführt werden. Den Akten seien keine Hinweise zu entnehmen, wonach die Behörden ihm keinen Schutz gewährt hätten, insbesondere da die sri-lankischen Behörden tamilischen Staatsangehörigen gegenüber grundsätzlich als schutzwillig und -fähig gelten würden. In Bezug auf den Wegweisungsvollzug hielt das SEM zudem fest, dass der Beschwerdeführer in der Schweiz nur sehr geringfügig politisch aktiv gewesen sei und daher nicht anzunehmen sei, dass er in den Augen des sri-lankischen Staatsapparates als Person mit einer besonders engen Beziehung zu den LTTE gelten würde. Insgesamt bestünde kein Anlass zur Annahme, dass er bei einer Rückkehr in seinen Heimatstaat mit beachtlicher Wahrscheinlichkeit und in absehbarer Zukunft asylrelevanten Verfolgungsmassnahmen ausgesetzt wäre.</w:t>
      </w:r>
    </w:p>
    <w:p>
      <w:r>
        <w:rPr>
          <w:b/>
        </w:rPr>
        <w:t>E. 9.2</w:t>
      </w:r>
    </w:p>
    <w:p>
      <w:r>
        <w:t>Der Beschwerdeführer hielt dem in seiner Beschwerde entgegen, dass er aufgrund der neusten Entwicklungen in seinem Heimatstaat klarerweise asylrechtlich gefährdet sei. Weiter bringt er vor, dass die Vorinstanz keine Glaubhaftigkeitsprüfung vorgenommen habe. Der Rechtsvertreter des Beschwerdeführers machte ausserdem ausgedehnte allgemeine Ausführungen zur aktuellen Lage in Sri Lanka und reichte zum Beleg seiner Einschätzung eine sehr umfangreiche eigene Dokumenten- und Quellensammlung ein, welche das Lagebild kommentiere und die Einschätzung des SEM widerlege. Die Gefährdungslage für abgewiesene tamilische Asylsuchende beziehungsweise das "real risk" habe sich dabei insbesondere seit Februar 2018 erheblich vergrössert. Vor diesem Hintergrund sei die geltend gemachte Furcht des Beschwerdeführers um Leib und Leben begründet, zumal er als Tamile zu einer verfolgten sozialen Gruppe angehöre und aus einem Exilzentrum der LTTE nach Sri Lanka zurückkehren würde. Er erfülle zahlreiche der vom Bundesverwaltungsgericht definierten Risikofaktoren, welche vor dem Hintergrund der Rückkehr Rajapaksas verstärkt Geltung hätten.</w:t>
      </w:r>
    </w:p>
    <w:p>
      <w:r>
        <w:rPr>
          <w:b/>
        </w:rPr>
        <w:t>E. 10.1</w:t>
      </w:r>
    </w:p>
    <w:p>
      <w:r>
        <w:t>Die Vorinstanz hat in ihrem Entscheid ausführlich und überzeugend dargelegt, dass die vom Beschwerdeführer geltend gemachten Vorfälle auf dem (...)markt, insbesondere die Bedrohung und Erpressung von Schutzgeld sowie die Entführung durch Unbekannte, den Anforderungen von Art. 3 AsylG nicht genügen würden. Die Bedrohung ging von privaten Unbekannten aus und es fehlt klarerweise an einem asylrelevanten Verfolgungsmotiv. Zudem ist die Aktualität einer allfälligen Verfolgung aufgrund des Umstandes, dass der Beschwerdeführer sein Geschäft vor der Ausreise verkauft hat, zu verneinen. Schliesslich hat er es unterlassen, in seinem Heimatstaat bei den zuständigen Behörden Schutz vor der von Privaten ausgehenden Bedrohung zu suchen. Es kann daher vollumfänglich auf die schlüssige Begründung der Vorinstanz verwiesen werden (angefochtene Verfügung S. 3 f.), zumal sich der Beschwerdeführer in seiner Beschwerdeschrift nicht weiter damit auseinandersetzt.</w:t>
      </w:r>
    </w:p>
    <w:p>
      <w:r>
        <w:rPr>
          <w:b/>
        </w:rPr>
        <w:t>E. 10.2</w:t>
      </w:r>
    </w:p>
    <w:p>
      <w:r>
        <w:t>Soweit der Beschwerdeführer rügt, die Vorinstanz hätte die Glaubhaftigkeit seiner Vorbringen nicht geprüft, ist dazu festzuhalten, dass sich eine Prüfung der Glaubhaftigkeit nach Art. 7 AsylG erübrigt, sofern die Asylrelevanz, wie auch vorliegend, geprüft und verneint wurde.</w:t>
      </w:r>
    </w:p>
    <w:p>
      <w:r>
        <w:rPr>
          <w:b/>
        </w:rPr>
        <w:t>E. 10.3</w:t>
      </w:r>
    </w:p>
    <w:p>
      <w:r>
        <w:t>Auch hinsichtlich seiner geltend gemachten exilpolitischen Aktivitäten kann im Übrigen auf die vorinstanzliche Verfügung verwiesen werden (angefochtene Verfügung S. 5). Der Beschwerdeführer hat in den dreieinhalb Jahren, seit er sich in der Schweiz befindet, angeblich zwei Kundgebungen besucht, wobei den als Beweismitteln eingereichten (undatierten) Fotos lediglich zu entnehmen ist, dass er sich in einem Sportverein engagiert und einmal eine LTTE-Fahne trägt. Aufgrund dieser äusserst geringfügigen politischen Aktivität ist nicht davon auszugehen, dass er in den Augen der sri-lankischen Sicherheitsbehörden als Person gilt, die eine besonders enge Beziehung zu den LTTE pflegt, zumal er eigenen Angaben zufolge in seinem Heimatstaat keinerlei Kontakt zu den LTTE hatte.</w:t>
      </w:r>
    </w:p>
    <w:p>
      <w:r>
        <w:rPr>
          <w:b/>
        </w:rPr>
        <w:t>E. 10.4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10.5</w:t>
      </w:r>
    </w:p>
    <w:p>
      <w:r>
        <w:t>Nachdem der Beschwerdeführer in seinem Heimatstaat nie in Kontakt mit den LTTE gestanden hat und auch sein exilpolitisches Wirken als äusserst niederschwellig zu beurteilen ist, erfüllt er keine der oben erwähnten stark risikobegründenden Faktoren. Weiter verfügt er nicht über eine Narbe, wurde er keiner Straftat angeklagt oder verurteilt und verfügt somit auch nicht über einen Strafregistereintrag. Alleine aus der tamilischen Ethnie und der mittlerweile knapp dreieinhalbjährigen Landesabwesenheit kann er keine Gefährdung ableiten. Es ist somit nicht anzunehmen, dass ihm persönlich im Falle einer Rückkehr nach Sri Lanka ernsthafte Nachteile im Sinne von Art. 3 AsylG drohen würden. Dies ergibt sich auch nicht aus den auf Beschwerdeebene eingereichten Dokumenten, Berichten und Länderinformationen.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(s. vorstehend E. 5), zumal nicht ersichtlich ist, wie sich diese in asylrechtlich relevanter Weise auf den Beschwerdeführer auswirken könnte. Insofern ist an der Lageeinschätzung im Urteil E-1866/2015 vom 15. Juli 2016 festzuhalten.</w:t>
      </w:r>
    </w:p>
    <w:p>
      <w:r>
        <w:rPr>
          <w:b/>
        </w:rPr>
        <w:t>E. 10.6</w:t>
      </w:r>
    </w:p>
    <w:p>
      <w:r>
        <w:t>Zusammenfassend ist festzuhalten, dass der Beschwerdeführer die Flüchtlingseigenschaft nicht erfüllt und das SEM sein Asylgesuch zu Recht abgelehnt hat.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(vgl. Urteil BVGer E-1866/2015 vom 15. Juli 2016 E. 12.2). Ferner hat sich auch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Gestützt auf BVGE 2011/24 hat die Vorinstanz die Zumutbarkeit des Wegweisungsvollzugs nach (...)Colombo, wo der Beschwerdeführer zuletzt gewohnt hat, zutreffend bejaht. In Bezug auf das Vorliegen individueller Zumutbarkeitskriterien ist festzuhalten, dass es sich beim Beschwerdeführer eigenen Angaben zufolge um einen jungen Mann handelt, der über eine schulische Ausbildung und berufliche Erfahrung in der (...) verfügt und bereits sein eigenes Geschäft auf einem (...)markt geführt hat. Seine Eltern leben mit seiner Schwester in Colombo, seine Ehefrau und seine Tochter sind in F._______ wohnhaft. Zwar deutet der Beschwerdeführer in der Beschwerde an, dass sich sein Gesundheitszustand zwischen BzP und Anhörung verschlechtert habe. Inwiefern seine Gesundheit beeinträchtigt gewesen sein soll, beziehungsweise ob er aktuell gesundheitliche Probleme aufweist, ist den Akten nicht zu entnehmen und wird auch in der Beschwerdeschrift nicht näher ausgeführt. Demzufolge verfügt der Beschwerdeführer in seinem Heimatstaat über eine günstige persönliche und berufliche Ausgangslage.</w:t>
      </w:r>
    </w:p>
    <w:p>
      <w:r>
        <w:rPr>
          <w:b/>
        </w:rPr>
        <w:t>E. 12.4.2</w:t>
      </w:r>
    </w:p>
    <w:p>
      <w:r>
        <w:t>Nach dem Gesagten erweist sich der Vollzug der Wegweisung auch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