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E-1127/2023 vom 27. Januar 2023</w:t>
      </w:r>
    </w:p>
    <w:p>
      <w:r>
        <w:t>Bundesverwaltungsgericht, 2023-01-27, DE</w:t>
      </w:r>
    </w:p>
    <w:p>
      <w:r>
        <w:rPr>
          <w:b/>
        </w:rPr>
        <w:t xml:space="preserve">Quelle: </w:t>
      </w:r>
      <w:r>
        <w:t>https://mcp.opencaselaw.ch/entscheid/bvger_E-1127_2023_d20230127</w:t>
      </w:r>
    </w:p>
    <w:p>
      <w:r>
        <w:t>FR: TAF E-1127/2023 du 27 janvier 2023</w:t>
      </w:r>
    </w:p>
    <w:p>
      <w:r>
        <w:t>IT: TAF E-1127/2023 del 27 gennaio 2023</w:t>
      </w:r>
    </w:p>
    <w:p>
      <w:pPr>
        <w:pStyle w:val="Heading2"/>
      </w:pPr>
      <w:r>
        <w:t>Regeste</w:t>
      </w:r>
    </w:p>
    <w:p>
      <w:r>
        <w:t>Asyl (ohne Wegweisungsvollzug) (beschleunigtes Verfahren) | Asyl (ohne Wegweisung; beschleunigtes Verfahren); Verfügung des SEM vom 27.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E-1127/2023 Seite 4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und Art. 10 der Verordnung vom 1. April 2020 über Massnah- men im Asylbereich im Zusammenhang mit dem Coronavirus [Covid-19- Verordnung Asyl, SR 142.318];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E-1127/2023 Seite 5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seiner Verfügung aus, dass in einer Kriegssituation erlittene Nachteile praxisgemäss flüchtlingsrechtlich nicht relevant seien, sofern sie nicht in der Absicht zugefügt würden, die be- troffene Person aus einem der im Asylgesetz erwähnten Gründe zu verfol- gen. Dies sei im Falle des Beschwerdeführers klar zu verneinen. Die Ein- berufung in den Militärdienst sei nicht eine flüchtlingsrechtlich relevante Verfolgung, sondern eine staatsbürgerliche Pflicht, die vom Staat grund- sätzlich verlangt werden könne. Falls der Beschwerdeführer der Ansicht sei, die Wehrpflicht aus gesundheitlichen Gründen nicht erfüllen zu kön- nen, könne er bei den heimatlichen Behörden eine Dienstbefreiung bean- tragen. Eine Rückkehr in die Ukraine sowie ein allfälliger Einzug in den Militärdienst würden auch nicht gegen Art. 3 EMRK verstossen.</w:t>
      </w:r>
    </w:p>
    <w:p>
      <w:r>
        <w:rPr>
          <w:b/>
        </w:rPr>
        <w:t>E. 5.2</w:t>
      </w:r>
    </w:p>
    <w:p>
      <w:r>
        <w:t>In der Beschwerdeeingabe wurde argumentiert, der Beschwerdeführer sei in der Ukraine als wehrdienstpflichtige Person erfasst, weshalb klar sei, dass er bei einer Rückkehr in den Heimatstaat in den Militärdienst im akti- ven Krieg eingezogen würde. Es sei nicht nachvollziehbar, dass die Vor- instanz ohne zusätzliche Abklärungen betreffend seine Gesamtsituation eine Verletzung von Art. 3 EMRK ausgeschlossen habe. Namentlich sei nicht abgeklärt worden, ob eine Befreiung von der Wehrpflicht aus medizi- nischen Gründen möglich wäre. Kriegsdienstverweigerer würden in der Ukraine zu mehrjährigen Haftstrafen verurteilt; die ukrainische Justiz ent- spreche nicht den europäischen Standards. Überdies sei zu berücksichti- gen, dass zurzeit Wegweisungen in die Ukraine aufgrund der Unzumutbar- keit ausgesetzt seien und demnach feststehe, dass eine konkrete Gefähr- dung gegeben sei, welche die durch Art. 2 und 3 EMRK geschützten</w:t>
      </w:r>
    </w:p>
    <w:p>
      <w:r>
        <w:t>E-1127/2023 Seite 6 Rechte tangiere. Das SEM habe durch die unterlassenen Abklärungen seine Untersuchungspflicht verletzt.</w:t>
      </w:r>
    </w:p>
    <w:p>
      <w:r>
        <w:rPr>
          <w:b/>
        </w:rPr>
        <w:t>E. 6.1</w:t>
      </w:r>
    </w:p>
    <w:p>
      <w:r>
        <w:t>Illegitim und daher flüchtlingsrechtlich relevant kann eine Einberufung zum Wehrdienst praxisgemäss sein, wenn sie darauf abzielt, einem Wehr- pflichtigen aus einem der in Art. 3 AsylG genannten Gründe erhebliche Nachteile zuzufügen oder diesen in völkerrechtlich verpönte Handlungen zu verstricken. Ebenfalls kann eine wegen Missachtung der Dienstpflicht drohende Strafe ausnahmsweise eine asylrelevante Verfolgung darstellen, wenn der Wehrpflichtige wegen seines Verhaltens mit einer Strafe zu rech- nen hat, welche entweder aus Gründen nach Art. 3 AsylG diskriminierend höher ausfällt oder an sich unverhältnismässig hoch ist (sogenannter rela- tiver respektive absoluter Malus). Schliesslich sind Sanktionen für die Ver- weigerung des Dienstes nur dann legitim, wenn die Bürger zu diesem Dienst gesetzlich verpflichtet sind (vgl. BVGE 2015/3 E. 5.7.1. mit weiteren Hinweisen).</w:t>
      </w:r>
    </w:p>
    <w:p>
      <w:r>
        <w:rPr>
          <w:b/>
        </w:rPr>
        <w:t>E. 6.2</w:t>
      </w:r>
    </w:p>
    <w:p>
      <w:r>
        <w:t>Vorab ist festzuhalten, dass der Beschwerdeführer nicht geltend ge- macht hat, ein konkretes Aufgebot für den Militärdienst erhalten zu haben. Ferner ergeben sich aus den Akten keine Anhaltspunkte dafür, dass eine allfällige Einberufung in den Wehrdienst aus flüchtlingsrechtlich relevanten Gründen erfolgen würde oder er mit einer Bestrafung wegen Wehrdienst- verweigerung zu rechnen hätte, welche einer Verletzung von Art. 3 AsylG gleichkäme. Insbesondere sind keine konkreten Hinweise ersichtlich, wo- nach er aufgrund seiner Rasse, Religion, Nationalität, seiner Zugehörigkeit zu einer ethnischen oder sozialen Gruppe oder wegen seiner politischen Anschauungen mit einer höheren Strafe zu rechnen hätte als Refraktäre und Deserteure ohne einen solchen spezifischen Hintergrund. Zudem kann weder den Akten entnommen werden noch wurde konkret geltend ge- macht, dass dem Beschwerdeführer mit einer allfälligen Einberufung in den ukrainischen Militärdienst erhebliche Nachteile im Sinne von Art. 3 AsylG zugefügt werden sollen oder dass er gezwungen wäre, an völkerrechtlich illegitimen Handlungen – namentlich Kriegsverbrechen – teilzunehmen. Allein der Umstand, dass er allenfalls am völkerrechtlich grundsätzlich le- gitimen Verteidigungskrieg der ukrainischen Armee gegen die russischen Streitkräfte teilnehmen müsste, lässt eine solche Schlussfolgerung nicht zu und ist flüchtlingsrechtlich nicht relevant.</w:t>
      </w:r>
    </w:p>
    <w:p>
      <w:r>
        <w:t>E-1127/2023 Seite 7</w:t>
      </w:r>
    </w:p>
    <w:p>
      <w:r>
        <w:rPr>
          <w:b/>
        </w:rPr>
        <w:t>E. 6.3</w:t>
      </w:r>
    </w:p>
    <w:p>
      <w:r>
        <w:t>Angesichts dieser klaren Ausgangslage ist nicht zu beanstanden, dass die Vorinstanz auf weitergehende Abklärungen verzichtet hat. Der Vorwurf der Verletzung der Untersuchungspflicht erweist sich als unbegründet.</w:t>
      </w:r>
    </w:p>
    <w:p>
      <w:r>
        <w:rPr>
          <w:b/>
        </w:rPr>
        <w:t>E. 6.4</w:t>
      </w:r>
    </w:p>
    <w:p>
      <w:r>
        <w:t>Die Frage, ob der Beschwerdeführer aus nicht flüchtlingsrechtlich rele- vanten Gründen mit beachtlicher Wahrscheinlichkeit mit einer nach Art. 3 EMRK verbotenen Strafe oder Behandlung zu rechnen hat, mithin der Wegweisungsvollzug als unzulässig zu erachten wäre, ist vorliegend nicht zu prüfen, da von der Vorinstanz gestützt auf Art. 32 Abs. 1 Bst. d der Asyl- verordnung 1 vom 11. August 1999 [AsylV 1, SR 142.311] keine Wegwei- sung angeordnet worden ist.</w:t>
      </w:r>
    </w:p>
    <w:p>
      <w:r>
        <w:rPr>
          <w:b/>
        </w:rPr>
        <w:t>E. 6.5</w:t>
      </w:r>
    </w:p>
    <w:p>
      <w:r>
        <w:t>Das SEM hat nach dem Gesagten zu Recht die Flüchtlingseigenschaft des Beschwerdeführers verneint. Ergänzend kann festgestellt werden, dass das Asylgesuch angesichts der rechtskräftigen Landesverweisung selbst bei Erfüllen der Flüchtlingseigenschaft wegen Asylunwürdigkeit ab- zulehnen gewesen wäre (Art. 53 Bst. c AsylG).</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Für einen abgewiesenen Asylsuchenden wird die Wegweisung durch das SEM nicht verfügt, wenn sie von einer rechtskräftigen Landesverwei- sung nach Art. 66a StGB betroffen ist (Art. 32 Abs. 1 Bst. d AsylV 1). Ebenso wird im Fall einer rechtskräftigen Landesverweisung die vorläufige Aufnahme nicht verfügt (Art. 83 Abs. 9 AIG [SR 142.20]). Vielmehr obliegt es der kantonalen Vollzugsbehörde, das Vorliegen von Vollzugshindernis- sen zu prüfen (vgl. Urteil E-695/2020 des BVGer vom 27. März 2020 E.1.2.2). Das SEM hat demnach zu Recht von einer Anordnung der Weg- weisung des Beschwerdeführers abgesehen. Die Frage der Durchführbar- keit des Wegweisungsvollzugs stellt sich demnach, wie bereits erwähnt, vorliegend ebenfalls nicht.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t>E-1127/2023 Seite 8</w:t>
      </w:r>
    </w:p>
    <w:p>
      <w:r>
        <w:rPr>
          <w:b/>
        </w:rPr>
        <w:t>E. 9.1</w:t>
      </w:r>
    </w:p>
    <w:p>
      <w:r>
        <w:t>Der Antrag auf Verzicht auf die Erhebung eines Kostenvorschusses wird mit dem vorliegenden Urteil ebenso gegenstandslos wie der Antrag auf superprovisorische Aussetzung des Wegweisungsvollzugs.</w:t>
      </w:r>
    </w:p>
    <w:p>
      <w:r>
        <w:rPr>
          <w:b/>
        </w:rPr>
        <w:t>E. 9.2</w:t>
      </w:r>
    </w:p>
    <w:p>
      <w:r>
        <w:t>Die mit der Beschwerde gestellten Gesuche um Gewährung der unent- geltlichen Prozessführung und Verbeiständung sind abzuweisen, da die Begehren – wie sich aus den vorstehenden Erwägungen ergibt – aussicht- los waren, weshalb die Voraussetzungen von Art. 65 Abs. 1 VwVG sowie Art. 102m Abs. 1 AsylG ungeachtet der Frage der Bedürftigkeit des Be- schwerdeführers nicht erfüllt sind.</w:t>
      </w:r>
    </w:p>
    <w:p>
      <w:r>
        <w:rPr>
          <w:b/>
        </w:rPr>
        <w:t>E. 10</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E-1127/2023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