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E-1125/2022 vom 15. März 2022</w:t>
      </w:r>
    </w:p>
    <w:p>
      <w:r>
        <w:t>Bundesverwaltungsgericht, 2022-03-15, DE</w:t>
      </w:r>
    </w:p>
    <w:p>
      <w:r>
        <w:rPr>
          <w:b/>
        </w:rPr>
        <w:t xml:space="preserve">Quelle: </w:t>
      </w:r>
      <w:r>
        <w:t>https://mcp.opencaselaw.ch/entscheid/bvger_E-1125_2022</w:t>
      </w:r>
    </w:p>
    <w:p>
      <w:r>
        <w:t>FR: TAF E-1125/2022 du 15 mars 2022</w:t>
      </w:r>
    </w:p>
    <w:p>
      <w:r>
        <w:t>IT: TAF E-1125/2022 del 15 marzo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E-1125/2022 Seite 4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 wie vorliegend der Fall – (Art. 23–25 Dublin- III-VO) findet grundsätzlich keine (neue) Zuständigkeitsprüfung nach Kapi- tel III Dublin-III-VO mehr statt (vgl. zum Ganzen BVGE 2017 VI/5 E. 6.2 und 8.2.1).</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w:t>
      </w:r>
    </w:p>
    <w:p>
      <w:r>
        <w:t>E-1125/2022 Seite 5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Der Beschwerdeführer bestreitet nicht, in Italien ein Asylgesuch einge- reicht zu haben. Nachdem die italienischen Behörden innert Frist dem Wie- deraufnahmegesuch der Vorinstanz zugestimmt haben, ist die Zuständig- keit Italiens grundsätzlich gegeben.</w:t>
      </w:r>
    </w:p>
    <w:p>
      <w:r>
        <w:rPr>
          <w:b/>
        </w:rPr>
        <w:t>E. 4.2</w:t>
      </w:r>
    </w:p>
    <w:p>
      <w:r>
        <w:t>Die Vorinstanz hat zutreffend festgehalten, dass es keine wesentlichen Gründe für die Annahme gibt, das Asylverfahren und die Aufnahmebedin- gungen für asylsuchende Personen in Italien hätten systemische Schwach- stellen im Sinne von Art. 3 Abs. 2 zweiter und dritter Satz Dublin-III-VO, die eine Gefahr einer unmenschlichen Behandlung im Sinne des Artikels 4 der EU-Grundrechtcharta und Art. 3 EMRK mit sich bringen würden (vgl. Urteil des Europäischen Gerichtshofes für Menschenrecht [EGMR] 46595/19 M.T. gegen die Niederlande vom 23. März 2021, Ziff. 48 ff.; 29217/12 Ta- rakhel gegen die Schweiz vom 4. November 2014, Ziff. 115; [Referenz-] Urteile des BVGer F-6330/2020 vom 18. Oktober 2021 E. 9.1; E-962/2019 vom 17. Dezember 2019 E. 6.3 ff.;).</w:t>
      </w:r>
    </w:p>
    <w:p>
      <w:r>
        <w:rPr>
          <w:b/>
        </w:rPr>
        <w:t>E. 4.3</w:t>
      </w:r>
    </w:p>
    <w:p>
      <w:r>
        <w:t>Die Vorinstanz hat sodann die Anwendung des Selbsteintrittsrechts im Sinne von Art. 17 Abs. 1 Dublin-III-VO sowie Art. 29a Abs. 3 AsylV 1 zu Recht verneint. Der Beschwerdeführer hat kein konkretes und ernsthaftes Risiko dargetan, dass die italienischen Behörden im konkreten Fall ihren völkerrechtlichen Verpflichtungen nicht nachkommen würden. Die allge- mein gehaltenen Ausführungen des Beschwerdeführers zu seiner Situation genügen vorliegend nicht, um die grundsätzliche Vermutung umzustossen, wonach Italien seinen völkerrechtlichen Verpflichtungen nachkommt (vgl. dazu auch Urteil E-962/2019 E. 5; Urteil des EuGH vom 19. März 2019 C-163/17 Jawo Rn. 82 ff.). Vielmehr darf davon ausgegangen werden, Ita- lien anerkenne und schütze die Rechte aus der Richtlinie des Europäi- schen Parlaments und des Rates 2013/33/EU vom 26. Juni 2013 zur Fest- legung von Normen für die Aufnahme von Personen, die internationalen Schutz beantragen (sog. Aufnahmerichtlinie) (vgl. statt vieler: Urteil des BVGer F-5306/2021 vom 13. Dezember 2021 E. 5.5). Konkrete Hinweise darauf, Italien werde dem Beschwerdeführer nach der Richtlinie zustehen- den Rechte vorenthalten, sind vorliegend auch nicht aus dem pauschalen</w:t>
      </w:r>
    </w:p>
    <w:p>
      <w:r>
        <w:t>E-1125/2022 Seite 6 Verweis in der Beschwerde auf einen Bericht der Schweizerischen Flücht- lingshilfe vom Juni 2021 ersichtlich. Zwar ist nicht von der Hand zu weisen, dass die in Italien herrschenden Aufnahmebedingungen in der Vergangen- heit wiederholt zu Klagen Anlass gaben, wozu sich das Bundeverwaltungs- gericht schon mehrfach geäussert hat (vgl. BVGE 2015/4 E. 4, 2016/2 E. 5, 2017 VI/5 E. 8.4, 2017 VI/10 E. 5 sowie BVGer-Referenzurteile E-962/2019 vom 17. Dezember 2019 und F-6330/2020 vom 18. Oktober 2021). Aller- dings hat sich auch damit nichts daran geändert, dass das Gericht grund- sätzlich von der Zulässigkeit der Überstellung nach Italien ausgeht.</w:t>
      </w:r>
    </w:p>
    <w:p>
      <w:r>
        <w:rPr>
          <w:b/>
        </w:rPr>
        <w:t>E. 4.4</w:t>
      </w:r>
    </w:p>
    <w:p>
      <w:r>
        <w:t>Sodann geht auch das Bundesverwaltungsgericht in Bezug auf die vom Beschwerdeführer geltend gemachten gesundheitlichen Beeinträchtigung davon aus, dass Italien über eine ausreichende medizinische Infrastruktur verfügt und der Zugang zum italienischen Gesundheitssystem über die Notversorgung hinaus grundsätzlich gewährleistet ist (vgl. Urteil F-6330/2020 E. 10.5 und E. 11.1; statt vieler: Urteil des BVGer F- 4786/2021 vom 5. November 2021 E. 8.5). Der Beschwerdeführer hat an- lässlich des ihm gewährten rechtlichen Gehörs geltend gemacht, er habe in Italien die Kälte nicht vertragen und seine Knochen würden ihm weh tun; zudem habe er Husten. Dass vorliegend allfällige medizinische Abklärun- gen eine schwerwiegende Gesundheitsbeeinträchtigung des Beschwerde- führers aufdecken könnten, welche im Sinne von Art. 3 EMRK einer Über- stellung entgegenstünden, ist aufgrund der Aktenlage nicht zu erwarten. In antizipierter Beweiswürdigung konnte die Vorinstanz daher auf weitere Ab- klärungen zum Gesundheitszustand verzichtet (vgl. BGE 136 I 229 E. 5.3; 134 I 140 E. 5.3). Auch im Beschwerdeverfahren werden sodann keine substanziellen Ausführungen zum Gesundheitszustand des Beschwerde- führers getroffen. Die formelle Rüge der unvollständigen Sachverhaltsab- klärung und damit der Verletzung des rechtlichen Gehörs erweist sich ins- gesamt als unbegründet und ist abzuweisen.</w:t>
      </w:r>
    </w:p>
    <w:p>
      <w:r>
        <w:rPr>
          <w:b/>
        </w:rPr>
        <w:t>E. 4.5</w:t>
      </w:r>
    </w:p>
    <w:p>
      <w:r>
        <w:t>Der Beschwerdeführer legt schliesslich weder substantiiert dar noch ergeben sich konkrete Anhaltspunkte dafür, dass er als schutzbedürftig und vulnerabel zu gelten hätte. Auch auf Beschwerdestufe wird nichts ausge- führt, was zur Annahme führen könnte, dass im Falle des Beschwerdefüh- rers individuelle Garantien bei den italienischen Behörden einzuholen wä- ren (vgl. Urteil E-962/2019 E. 7.4.3).</w:t>
      </w:r>
    </w:p>
    <w:p>
      <w:r>
        <w:t>E-1125/2022 Seite 7</w:t>
      </w:r>
    </w:p>
    <w:p>
      <w:r>
        <w:rPr>
          <w:b/>
        </w:rPr>
        <w:t>E. 4.6</w:t>
      </w:r>
    </w:p>
    <w:p>
      <w:r>
        <w:t>Nach dem Gesagten bleibt es bei der Zuständigkeit Italiens für die Durchführung des Asyl- und Wegweisungsverfahrens des Beschwerdefüh- rers. Eine die Schweiz bindende völkerrechtliche Bestimmung verletzt der angefochtene Entscheid nicht.</w:t>
      </w:r>
    </w:p>
    <w:p>
      <w:r>
        <w:rPr>
          <w:b/>
        </w:rPr>
        <w:t>E. 4.7</w:t>
      </w:r>
    </w:p>
    <w:p>
      <w:r>
        <w:t>Eine gesetzeswidrige Ermessensausübung der Vorinstanz im Sinne ei- nes Ermessensnichtgebrauchs oder einer Ermessensunterschreitung kann nicht ausgemacht werden. Ein Grund für die Anwendung der Ermessens- klauseln von Art. 17 Dublin-III-VO und Art. 29a Abs. 3 der Asylverordnung 1 vom 11. August 1999 (AsylV 1, SR 142.311) besteht nicht. Demzufolge ist nicht zu beanstanden, dass die Vorinstanz vom Selbsteintrittsrecht keinen Gebrauch gemacht hat.</w:t>
      </w:r>
    </w:p>
    <w:p>
      <w:r>
        <w:rPr>
          <w:b/>
        </w:rPr>
        <w:t>E. 5</w:t>
      </w:r>
    </w:p>
    <w:p>
      <w:r>
        <w:t>Die Vorinstanz ist demzufolge zu Recht auf das Asylgesuch nicht eingetre- ten und hat die Überstellung des Beschwerdeführers nach Italien verfügt. Die Beschwerde ist abzuweisen.</w:t>
      </w:r>
    </w:p>
    <w:p>
      <w:r>
        <w:rPr>
          <w:b/>
        </w:rPr>
        <w:t>E. 6</w:t>
      </w:r>
    </w:p>
    <w:p>
      <w:r>
        <w:t>Mit dem vorliegenden Urteil fällt der am 10. März 2022 angeordnete Voll- zugsstopp dahin. Das Gesuch um Erteilung der aufschiebenden Wirkung ist gegenstandslos geworden.</w:t>
      </w:r>
    </w:p>
    <w:p>
      <w:r>
        <w:rPr>
          <w:b/>
        </w:rPr>
        <w:t>E. 7</w:t>
      </w:r>
    </w:p>
    <w:p>
      <w:r>
        <w:t>Das Gesuch um Verzicht auf die Erhebung eines Kostenvorschusses ist mit vorliegendem Entscheid ebenfalls gegenstandslos geworden.</w:t>
      </w:r>
    </w:p>
    <w:p>
      <w:r>
        <w:rPr>
          <w:b/>
        </w:rPr>
        <w:t>E. 8.1</w:t>
      </w:r>
    </w:p>
    <w:p>
      <w:r>
        <w:t>Die gestellten Begehren erweisen sich als aussichtslos, weshalb das Gesuch um unentgeltliche Prozessführung ungeachtet einer allfälligen pro- zessualen Bedürftigkeit abzuweisen ist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E-1125/2022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