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E-1124/2021 vom 20. April 2021</w:t>
      </w:r>
    </w:p>
    <w:p>
      <w:r>
        <w:t>Bundesverwaltungsgericht, 2021-04-20, FR</w:t>
      </w:r>
    </w:p>
    <w:p>
      <w:r>
        <w:rPr>
          <w:b/>
        </w:rPr>
        <w:t xml:space="preserve">Quelle: </w:t>
      </w:r>
      <w:r>
        <w:t>https://mcp.opencaselaw.ch/entscheid/bvger_E-1124_2021</w:t>
      </w:r>
    </w:p>
    <w:p>
      <w:r>
        <w:t>FR: TAF E-1124/2021 du 20 avril 2021</w:t>
      </w:r>
    </w:p>
    <w:p>
      <w:r>
        <w:t>IT: TAF E-1124/2021 del 20 aprile 2021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dans la mesure où il est recevable.</w:t>
      </w:r>
    </w:p>
    <w:p>
      <w:r>
        <w:rPr>
          <w:b/>
        </w:rPr>
        <w:t>E. 2</w:t>
      </w:r>
    </w:p>
    <w:p>
      <w:r>
        <w:t>La décision incidente du 15 février 2021 et la décision du 8 mars 2021 sont annulées.</w:t>
      </w:r>
    </w:p>
    <w:p>
      <w:r>
        <w:rPr>
          <w:b/>
        </w:rPr>
        <w:t>E. 3</w:t>
      </w:r>
    </w:p>
    <w:p>
      <w:r>
        <w:t>La cause est renvoyée au SEM, qui est invité à entrer en matière sur la demande de réexamen du 5 février 2021, dans le sens des considérants.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Il est alloué au recourant, à titre de dépens, la somme de 1'200 francs, à la charge du SEM.</w:t>
      </w:r>
    </w:p>
    <w:p>
      <w:r>
        <w:rPr>
          <w:b/>
        </w:rPr>
        <w:t>E. 6</w:t>
      </w:r>
    </w:p>
    <w:p>
      <w:r>
        <w:t>Le présent arrêt est adressé au recourant, au SEM et à l'autorité cantonale. La juge unique : Le greffier : Deborah D'Aveni Thierry Leibzig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