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E-1122/2022 vom 16. März 2022</w:t>
      </w:r>
    </w:p>
    <w:p>
      <w:r>
        <w:t>Bundesverwaltungsgericht, 2022-03-16, DE</w:t>
      </w:r>
    </w:p>
    <w:p>
      <w:r>
        <w:rPr>
          <w:b/>
        </w:rPr>
        <w:t xml:space="preserve">Quelle: </w:t>
      </w:r>
      <w:r>
        <w:t>https://mcp.opencaselaw.ch/entscheid/bvger_E-1122_2022</w:t>
      </w:r>
    </w:p>
    <w:p>
      <w:r>
        <w:t>FR: TAF E-1122/2022 du 16 mars 2022</w:t>
      </w:r>
    </w:p>
    <w:p>
      <w:r>
        <w:t>IT: TAF E-1122/2022 del 16 marzo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(Aufnahmerichtlinie) ergeben,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geltend macht, er laufe bei einer Rückkehr Ge- fahr, keine Unterkunft, Rechtsberatung und Unterstützung zu erhalten, zu- mal er bei seiner Ankunft bereits vier Tage auf der Strasse verbracht habe und medizinisch nicht versorgt worden sei, obwohl es im körperlich und psychisch sehr schlecht gegangen sei, dass er zudem vorbringt, er leide an gesundheitlichen Beschwerden, na- mentlich (…), dass er auf Beschwerdeebene hinzufügt, es bestünde der Verdacht auf (…), diesem aber nicht nachgegangen worden sei,</w:t>
      </w:r>
    </w:p>
    <w:p>
      <w:r>
        <w:t>E-1122/2022 Seite 7 dass er ausserdem moniert, Italien habe der Überstellung nicht ausdrück- lich zugestimmt, weshalb nicht gesichert sei, dass er nach seiner Rückkehr Zugang zu einer notwendigen Behandlung bekommen würde,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a.a.O. E. 7.4.3), dass der Beschwerdeführer indessen klar nicht dieser Kategorie der be- sonders vulnerablen Personen zuzurechnen ist, dass sich bezüglich des medizinischen Sachverhalts aus den Akten ergibt, dass beim Beschwerdeführer in der Schweiz eine (…) durchgeführt wurde, dass er sich wegen der (…) nie an den Pflegedienst des BAZ (…) gewandt hat (vgl. SEM-Akten 1119408-22/1), dass er den auf Beschwerdeebene geäusserten Verdacht auf (…) nicht be- legt und sich auch in dieser Angelegenheit nicht um medizinische Abklä- rung bemüht hat (vgl. SEM-Akten 1119408-22/1), dass kein ausreichender Anlass zur Annahme besteht, wegen der erwähn- ten gesundheitlichen Schwierigkeiten des Beschwerdeführers oder aus ei- nem anderen Grund drohe im Falle seiner Überstellung nach Italien ein Verstoss gegen Art. 3 EMRK (vgl. BVGE 2011/9 E. 7, mit Hinweisen auf die damalige Praxis des Europäischen Gerichtshofs für Menschenrechte [EGMR]; vgl. aus der neueren Rechtsprechung das Urteil des EGMR Pa- poshvili gegen Belgien vom 13. Dezember 2016 [Grosse Kammer], Be- schwerde Nr. 41738/10, Ziff. 180–193, m.w.H.), dass Italien im Übrigen grundsätzlich über eine ausreichende medizinische Infrastruktur verfügt (vgl. Urteile des BVGer F-1025/2022 vom 9. März 2022 E. 5.3.2; D-869/2022 vom 1. März 2022), dass dem Beschwerdeführer, einem jungen und – abgesehen von den er- wähnten, als leicht zu bezeichnenden gesundheitlichen Beeinträchtigun- gen – gesunden Mann, zugemutet werden kann, in Italien seine Rechte in</w:t>
      </w:r>
    </w:p>
    <w:p>
      <w:r>
        <w:t>E-1122/2022 Seite 8 Bezug auf die medizinische Versorgung und sonstige Unterstützung ge- mäss Art. 19 Aufnahmerichtlinie gegebenenfalls bei den zuständigen staat- lichen Stellen einzufordern, dass sich – neben den staatlichen Strukturen – auch zahlreiche private Hilfsorganisationen der Betreuung von Asylsuchenden und Flüchtlingen annehmen, bei denen er bei Bedarf ebenfalls um Unterstützung nachsu- chen kann, dass im Übrigen keine Sachverhaltsumstände ersichtlich sind, die in rechtserheblicher Weise gegen eine Überstellung in den für ihn zuständi- gen Dublin-Vertragsstaat sprechen würden, zumal der Beschwerdeführer nicht darlegt, sich bei seiner Ankunft in Italien überhaupt um Unterstützung bemüht zu haben, dass dem SEM bei der Anwendung von Art. 29a Abs. 3 AsylV 1 ein Ermes- 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insbesondere nicht im Besitz einer gültigen Aufenthalts- oder Niederlassungsbewilligung ist – in Anwendung von Art. 44 AsylG die Überstellung nach Italien angeordnet hat (Art. 32 Abs. 1 Bst. a AsylV 1), dass die Beschwerde folglich abzuweisen ist, dass der am 10. März 2022 angeordnete, vorsorgliche Vollzugsstopp mit dem vorliegenden Urteil dahinfällt, dass die mit der Beschwerdeschrift gestellten Gesuche um Gewährung der unentgeltlichen Prozessführung (Art. 65 Abs. 1 VwVG) und amtliche</w:t>
      </w:r>
    </w:p>
    <w:p>
      <w:r>
        <w:t>E-1122/2022 Seite 9 Rechtsvertretung (Art. 65 Abs. 2 VwVG) abzuweisen ist, da die hauptsäch- lichen Begehren – wie sich aus den angestellten Erwägungen ergibt – als von vornherein aussichtslos zu bezeichnen waren, 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E-1122/2022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