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E-1121/2016 vom 17. Mai 2018</w:t>
      </w:r>
    </w:p>
    <w:p>
      <w:r>
        <w:t>Bundesverwaltungsgericht, 2018-05-17, FR</w:t>
      </w:r>
    </w:p>
    <w:p>
      <w:r>
        <w:rPr>
          <w:b/>
        </w:rPr>
        <w:t xml:space="preserve">Quelle: </w:t>
      </w:r>
      <w:r>
        <w:t>https://mcp.opencaselaw.ch/entscheid/bvger_E-1121_2016</w:t>
      </w:r>
    </w:p>
    <w:p>
      <w:r>
        <w:t>FR: TAF E-1121/2016 du 17 mai 2018</w:t>
      </w:r>
    </w:p>
    <w:p>
      <w:r>
        <w:t>IT: TAF E-1121/2016 del 17 maggio 2018</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recourants ont qualité pour recourir (cf. art. 48, applicable par renvoi de l'art. 37 LTAF). Présentés dans la forme (cf. art 52 PA par renvoi de l'art. 6 LAsi) et dans le délai prescrit par la loi (cf. art. 108 al. 1 LAsi), les recours sont recevables.</w:t>
      </w:r>
    </w:p>
    <w:p>
      <w:r>
        <w:rPr>
          <w:b/>
        </w:rPr>
        <w:t>E. 1.3</w:t>
      </w:r>
    </w:p>
    <w:p>
      <w:r>
        <w:t>En l'espèce, vu la connexité des causes, l'économie de procédure commande de les réunir et de statuer sur les recours dans un seul arrêt.</w:t>
      </w:r>
    </w:p>
    <w:p>
      <w:r>
        <w:rPr>
          <w:b/>
        </w:rPr>
        <w:t>E. 2</w:t>
      </w:r>
    </w:p>
    <w:p>
      <w:r>
        <w:t>Les recourants n'ont pas recouru contre la décision du SEM en tant qu'elle rejette leur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Les recourants soulèvent de nombreux griefs en relation avec leur prise en charge et leur hébergement en cas de renvoi en Ukraine, qu'ils considèrent comme déplorables et contraires à la dignité humaine au sens de l'art. 3 CEDH.</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l'espèce, tout comme le SEM, le Tribunal ne doute pas de la vraisemblance des allégués de fait des recourants. Il considère néanmoins que l'exécution de leur renvoi ne contrevient pas au principe du non-refoulement ancré à l'art. 5 LAsi. En effet, d'une part, les intéressés n'ont pas remis en cause le prononcé de refus d'asile, fondé sur le caractère non pertinent de leurs allégations au regard de l'art. 3 al.1 LAsi, auquel renvoie l'art. 5 LAsi. D'autre part, ni l'un ni l'autre ne soutient qu'il serait visé personnellement, de manière concrète et ciblée, par des mesures incompatibles avec la disposition précitée, les deux se bornant à se référer à la situation de guerre civile et d'insécurité régnant dans leur région de provenance. Au surplus, leur dossier ne fait apparaître aucun indice laissant penser que l'un ou l'autre ferait l'objet, en Ukraine, d'enquêtes de police ou de poursuites judiciaires, de sorte qu'une éventuelle crainte de subir de sérieux préjudices au sens des dispositions précitées ne serait objectivement pas fondée. Ils ne peuvent donc se prévaloir de l'art. 5 al. 1 LAsi, qui reprend, en droit interne, le principe du non-refoulement énoncé par l'art. 33 par. 1 de la Convention relative au statut des réfugiés du 28 juillet 1951 (Conv. réfugiés, RS 0.142.30).</w:t>
      </w:r>
    </w:p>
    <w:p>
      <w:r>
        <w:rPr>
          <w:b/>
        </w:rPr>
        <w:t>E. 5.3</w:t>
      </w:r>
    </w:p>
    <w:p>
      <w:r>
        <w:t>En ce qui concerne les autres engagements de la Suisse relevant du droit international, il sied d'examiner particulièrement si l'art. 3 CEDH, qui interdit la torture, les peines ou traitements inhumains et qu'invoquent les recourants,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Selon la CourEDH, une situation de dénuement extrême, associée à l'attitude discriminatoire des autorités, est assimilable à un « traitement dégradant » au sens de l'art. 3 CEDH (cf. CourEDH, 12 juillet 2005, Moldovan et al. c. Roumanie, requêtes n°41138/98 et 64320/01, par. 103 &amp; 110). Dans l'arrêt précité, la Cour a sanctionné, sur le fondement de l'art. 3 CEDH, des conditions de vie précaires imposées à une communauté rom réduite à vivre dans des conditions déplorables après l'incendie criminel des habitations de ses membres. Pour la Cour, ces conditions de vie, notamment la promiscuité et l'insalubrité ainsi que leurs effets délétères sur la santé et le bien- être des requérants, associés à la durée pendant laquelle ces derniers ont été contraints de vivre ainsi et à l'attitude générale des autorités, ont porté atteinte à leur dignité et suscité chez eux des sentiments d'humiliation et d'avilissement.</w:t>
      </w:r>
    </w:p>
    <w:p>
      <w:r>
        <w:rPr>
          <w:b/>
        </w:rPr>
        <w:t>E. 5.3.2</w:t>
      </w:r>
    </w:p>
    <w:p>
      <w:r>
        <w:t>Dans le présent cas, sur la base des informations à sa disposition, le Tribunal considère que le risque, pour les recourants, de se retrouver dans une précarité analogue à celle définie ci-dessus, en cas de renvoi, n'est pas réalisé. Des soutiens destinés à permettre aux ressortissants ukrainiens déplacés dans leur pays à cause de la guerre dans le Donbass de mener une existence décente ont en effet été mis en place à plusieurs niveaux. Un programme d'aide aux familles déplacées a ainsi été mis en oeuvre par l'Office du Haut-Commissaire des Nations Unies pour les réfugiés (HCR). Différentes lois ont en outre été approuvées en vue de faciliter la prise en charge des personnes déplacées à l'intérieur du pays. En particulier, le Parlement ukrainien a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Le 31 mars 2016, le Parlement ukrainien a aussi adopté la Résolution n° 4273, en vue notamment de l'adoption d'une loi prévoyant un budget pour le financement des initiatives en faveur des personnes déplacées à l'intérieur du pays (cf. arrêt du Tribunal E-877/2016 du 21 juin 2017 consid. 9.1.3 et les références citées). A leur retour, les recourants auront ainsi la possibilité de solliciter un soutien matériel de la part des autorités ukrainiennes. Enfin, même si des réactions hostiles ont pu être observées à l'endroit des déplacés du Donbass, ceux-ci, selon le Comité international de la Croix-Rouge (CICR) et l'Organisation pour la sécurité et la coopération en Europe (OSCE), ne subissent pas de discriminations systématiques (arrêt du Tribunal E-898/2016 précité, p. 6 et les références citées).</w:t>
      </w:r>
    </w:p>
    <w:p>
      <w:r>
        <w:rPr>
          <w:b/>
        </w:rPr>
        <w:t>E. 5.3.3</w:t>
      </w:r>
    </w:p>
    <w:p>
      <w:r>
        <w:t>Le recourant estime aussi illicite l'exécution de son renvoi aux motifs que la mesure l'exposera, en tant que réserviste, à un enrôlement militaire qui serait illégal, selon lui, et à une affectation rapide au front. Il s'y oppose aussi à cause de la sanction qu'il encourt du fait de son refus d'être partie à un conflit dans lequel il est notoire que les forces armées ukrainiennes se rendent coupables d'actes contraires au droit international.</w:t>
      </w:r>
    </w:p>
    <w:p>
      <w:r>
        <w:rPr>
          <w:b/>
        </w:rPr>
        <w:t>E. 5.3.4</w:t>
      </w:r>
    </w:p>
    <w:p>
      <w:r>
        <w:t>Dans les Etats où il est obligatoire, le service militaire constitue un devoir civique et le fait de s'y soustraire une infraction punie par la loi. Suivant les circonstances, un recrutement forcé peut ainsi être considéré comme une mesure de substitution à une convocation à l'accomplissement d'une obligation civique. A fortiori, la crainte de poursuites pour désertion ou refus de servir ne peut être qualifiée de risque de persécution pertinent en matière d'asile si la peine vise uniquement à réprimer ce comportement (cf. HCR, Guide des procédures et critères à appliquer pour déterminer le statut de réfugié [Guide HCR], Genève 1992, p. 43ss). S'il apparaît vraisemblable, un refus de servir peut néanmoins fonder la qualité de réfugié si la personne concernée doit craindre de subir, pour les motifs prévus par l'art. 3 al. 1 LAsi, un traitement qui s'apparente à de sérieux préjudices au sens de l'art. 3 al. 2 LAsi (cf. ATAF 2015/3).</w:t>
      </w:r>
    </w:p>
    <w:p>
      <w:r>
        <w:rPr>
          <w:b/>
        </w:rPr>
        <w:t>E. 5.3.5</w:t>
      </w:r>
    </w:p>
    <w:p>
      <w:r>
        <w:t>En l'occurrence, il ne figure au dossier du recourant aucun élément concret indiquant qu'il pourrait être considéré par les autorités ukrainiennes comme un séparatiste pro-russe et donc être, en cas d'insoumission, menacé de sanctions disproportionnées qui seraient déterminantes sous l'angle de l'art. 3 LAsi. Par ailleurs, il n'a pas fourni d'élément permettant de penser qu'il aurait été incorporé dans l'armée entre-temps ou qu'il se serait soustrait sans autorisation à d'éventuelles obligations militaires, cette dernière hypothèse pouvant d'ailleurs être a priori exclue du moment qu'il a dit avoir quitté légalement son pays, muni de son passeport et d'un visa (Schengen). Le fait qu'il soit russophone n'est pas non plus décisif à cet égard, rien ne permettant de penser qu'en tant que ressortissant ukrainien, il risquerait de subir une peine discriminatoire liée à son extraction. S'il ressort aussi des informations à disposition du Tribunal qu'il encourrait une peine d'emprisonnement de deux ans, pouvant même atteindre cinq années, du fait d'une éventuelle insoumission, rien ne permet de considérer que de telles mesures dépasseraient manifestement ce qui est nécessaire pour que l'État concerné exerce son droit légitime à maintenir une force armée.</w:t>
      </w:r>
    </w:p>
    <w:p>
      <w:r>
        <w:rPr>
          <w:b/>
        </w:rPr>
        <w:t>E. 5.3.6</w:t>
      </w:r>
    </w:p>
    <w:p>
      <w:r>
        <w:t>Enfin, s'agissant des raisons de conscience avancées par le recourant pour s'opposer à l'exécution de son renvoi, il y a lieu de souligner qu'il ne suffit pas qu'une personne soit en désaccord avec les autorités de son pays quant à la justification d'une action militaire particulière pour conclure à l'illicéité de son renvoi ; il faut également que ladite action soit condamnée par la communauté internationale comme étant contraire aux règles de conduite les plus élémentaires, ce qui n'a pas été le cas dans le conflit ukrainien, du moins en ce qui concerne les autorités ukrainiennes (cf. HCR, Guide des procédures et critères à appliquer pour déterminer le statut de réfugié au regard de la Convention de 1951 et du Protocole de 1967 relatifs au statut des réfugiés, pt 171 par analogie). Eventuellement, l'exécution du renvoi serait illicite s'il existait une probabilité raisonnable que le recourant ne puisse éviter d'être déployé dans un rôle de combattant qui l'exposerait au risque de commettre des actes illégaux (HCR, Principes directeurs sur la protection internationale n°10 relatifs aux demandes de statut de réfugiés liées au service militaire dans le contexte de l'art.1A (2) de la Convention de 1951 et/ou du Protocole de 1967 relatifs au statut de réfugié, pt 30 par analogie). En l'occurrence, cette éventualité est hautement improbable.</w:t>
      </w:r>
    </w:p>
    <w:p>
      <w:r>
        <w:rPr>
          <w:b/>
        </w:rPr>
        <w:t>E. 5.3.7</w:t>
      </w:r>
    </w:p>
    <w:p>
      <w:r>
        <w:t>Dans ces conditions, le SEM a considéré à raison que le renvoi du recourant était licite en dépit des craintes de ce dernier d'être appelé à accomplir son service militaire dans les circonstances actuelles en Ukraine.</w:t>
      </w:r>
    </w:p>
    <w:p>
      <w:r>
        <w:rPr>
          <w:b/>
        </w:rPr>
        <w:t>E. 5.4</w:t>
      </w:r>
    </w:p>
    <w:p>
      <w:r>
        <w:t>Vu ce qui précède, l'exécution du renvoi du recourant et de sa mère, sous forme de refoulement, ne transgresse aucun engagement de la Suisse relevant du droit international, de sorte qu'elle s'avère licite.</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8.1-8.3).</w:t>
      </w:r>
    </w:p>
    <w:p>
      <w:r>
        <w:rPr>
          <w:b/>
        </w:rPr>
        <w:t>E. 6.1.1</w:t>
      </w:r>
    </w:p>
    <w:p>
      <w:r>
        <w:t>La mise en oeuvre des accords passés à Minsk en février 2015, qui prévoyaient un cessez-le-feu général dans le Donbass, ne progresse pas de manière satisfaisante. Cela dit, malgré cela, l'Ukraine ne connaît pas, sur l'ensemble de son territoire, une situation de guerre, de guerre civile ou de violence généralisée qui permettrait d'emblée et indépendamment des circonstances du cas d'espèce de présumer un risque, pour tous ses ressortissants, de mise en danger concrète au sens de la disposition légale précitée (cf. notamment arrêt du Tribunal E-6697/2016 du 10 avril 2017 consid. 8.2).</w:t>
      </w:r>
    </w:p>
    <w:p>
      <w:r>
        <w:rPr>
          <w:b/>
        </w:rPr>
        <w:t>E. 6.1.2</w:t>
      </w:r>
    </w:p>
    <w:p>
      <w:r>
        <w:t>En l'occurrence, les recourants viennent de C._______, dans le Donbass. Vu les circonstances, on ne saurait, sans autre examen, attendre d'eux qu'ils y retournent. Cela dit, ils sont ukrainiens, détenteurs de documents officiels, notamment de passeports internes et d'un certificat de naissance délivrés par l'Etat ukrainien. Ils ont ainsi la possibilité de s'installer dans la partie du territoire national contrôlée par les autorités ukrainiennes. Certes, les intéressés objectent que, de retour en Ukraine, ils ne pourront légalement s'établir ailleurs que dans leur région de provenance, faute de moyens financiers leur permettant de louer un logement dans la partie du pays épargnée par la guerre et de se constituer ainsi un nouveau domicile. Sa rente de retraitée ne serait ainsi même plus versée à la recourante. De fait, il a déjà été dit sous ch. 5.3.2 du présent arrêt que les ressortissants ukrainiens déplacés dans leur pays à cause de la guerre dans le Donbass peuvent bénéficier aujourd'hui d'aides publiques leur permettant de mener une existence décente. Par ailleurs, s'il est concevable que les autorités ukrainiennes continuent à ne plus verser leur pensions aux retraités vivant à C._______, vu la situation dans le Donbass, rien ne permet d'affirmer que ces mêmes autorités ne verseraient plus leurs pensions aux retraités de cette ville déplacés dans la partie de l'Ukraine contrôlée par les autorités de ce pays. Dans son recours, la recourante laisse d'ailleurs entendre que les retraités du Donbass peuvent percevoir leur pension hors des territoires contrôlés par les séparatistes pour autant qu'ils aient pu s'y constituer un domicile. Enfin, l'ostracisme qu'elle dit redouter dans cette partie du pays sera en bonne partie atténué par sa faculté à parler l'ukrainien, dont elle dit avoir des connaissances moyennes. Le recourant, quant à lui, ne parle pas l'ukrainien, mais il le comprend. Agé de quarante-et-un ans et au bénéfice d'une bonne formation, il est en mesure de travailler pour subvenir à ses besoins et à ceux de sa mère dans un pays où la pratique du russe est très répandue. Il doit aussi avoir en Ukraine un bon réseau social grâce à sa notoriété sportive. Il y a ainsi lieu de relever qu'il a figuré au classement mondial des joueurs de (...) professionnels. Un soutien de sa soeur, en Suisse, n'est pas à exclure non plus. Enfin, il ne ressort pas de son dossier qu'il aurait fait l'objet d'une condamnation pénale dans son pays. Il ne l'a, en tout cas, pas prétendu. A son retour, il n'aura donc aucune difficulté à justifier d'un casier judiciaire vierge pour obtenir le certificat-migrant.</w:t>
      </w:r>
    </w:p>
    <w:p>
      <w:r>
        <w:rPr>
          <w:b/>
        </w:rPr>
        <w:t>E. 6.2</w:t>
      </w:r>
    </w:p>
    <w:p>
      <w:r>
        <w:t>Concernant les problèmes de santé des recourants, le Tribunal rappellera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w:t>
      </w:r>
    </w:p>
    <w:p>
      <w:r>
        <w:rPr>
          <w:b/>
        </w:rPr>
        <w:t>E. 6.2.1</w:t>
      </w:r>
    </w:p>
    <w:p>
      <w:r>
        <w:t>En l'occurrence, le recourant souffre d'un herpès génital et d'une hépatite C chronique, diagnostiquée il y a déjà plusieurs années dans son pays. En 2016, un traitement médicamenteux lui a vraisemblablement été prodigué pendant plusieurs semaines (cf. certificat médical annexé au recours, Faits, let. C), en raison d'une symptomatologie extra hépatique avec asthénie importante (fatigue physique) et arthralgies diffuses (douleurs au niveau des articulations). Si elles ne sont pas négligeables, ces affections ne présentent pas un niveau de gravité tel qu'elles seraient de nature à remettre en cause le caractère exigible de son renvoi. Elles ne nécessitent pas non plus de traitement à ce point spécifique qu'on pourrait craindre qu'il ne soit pas disponible en Ukraine. L'hépatite du recourant a d'ailleurs été traitée dans son pays. Il ne ressort en tout cas pas du certificat produit que cela n'aurait pas été le cas. Il n'y a pas non plus de raison de penser qu'il n'y serait plus soigné à son retour. Le Tribunal rappellera à ce sujet que l'Ukraine dispose d'une infrastructure médicale de base suffisante, en particulier dans les grandes villes du pays (cf. arrêt du Tribunal E-6697/2016 du 10 avril 2017 et les références citées). En tout état de cause, le système de santé ukrainien garantit un accès universel et illimité à des soins gratuits, dans les établissements de santé publics, offrant des traitements adaptés (cf. arrêt du Tribunal E-877/2016 précité et les références citées). De son côté, la mère du recourant dit devoir prendre des somnifères et des calmants qu'elle ferait venir d'Ukraine. EIle n'a toutefois documenté aucun traitement éventuellement dispensé en Suisse, affirmant seulement qu'en cas de renvoi en Ukraine, elle ne pourrait plus payer ses médicaments. Dans ces conditions, le Tribunal considère que les affections de l'intéressée ne sont pas de nature à faire obstacle à l'exécution de son renvoi. La recourante devrait en outre pouvoir compter sur un soutien de sa fille, en Suisse, pour l'aider à payer ses médicaments dans son pays.</w:t>
      </w:r>
    </w:p>
    <w:p>
      <w:r>
        <w:rPr>
          <w:b/>
        </w:rPr>
        <w:t>E. 6.3</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Il s'ensuit que les recours doivent être rejetés.</w:t>
      </w:r>
    </w:p>
    <w:p>
      <w:r>
        <w:rPr>
          <w:b/>
        </w:rPr>
        <w:t>E. 9</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Leur demande d'assistance judiciaire partielle, déposée simultanément au recours, doit toutefois être admise, les conditions de l'art. 65 al. 1 PA étant réunies.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