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E-1120/2018 vom 26. November 2020</w:t>
      </w:r>
    </w:p>
    <w:p>
      <w:r>
        <w:t>Bundesverwaltungsgericht, 2020-11-26, DE</w:t>
      </w:r>
    </w:p>
    <w:p>
      <w:r>
        <w:rPr>
          <w:b/>
        </w:rPr>
        <w:t xml:space="preserve">Quelle: </w:t>
      </w:r>
      <w:r>
        <w:t>https://mcp.opencaselaw.ch/entscheid/bvger_E-1120_2018</w:t>
      </w:r>
    </w:p>
    <w:p>
      <w:r>
        <w:t>FR: TAF E-1120/2018 du 26 novembre 2020</w:t>
      </w:r>
    </w:p>
    <w:p>
      <w:r>
        <w:t>IT: TAF E-1120/2018 del 26 novembre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insoweit einzutreten (aArt. 108 Abs. 1 AsylG und Art. 52 Abs. 1 VwVG).</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Gestützt auf Art. 111a Abs. 1 AsylG wurde vorliegend auf die Durchführung eines Schriftenwechsels verzichtet.</w:t>
      </w:r>
    </w:p>
    <w:p>
      <w:r>
        <w:rPr>
          <w:b/>
        </w:rPr>
        <w:t>E. 3.3</w:t>
      </w:r>
    </w:p>
    <w:p>
      <w:r>
        <w:t>Der mit Zwischenverfügung vom 2. März 2018 - unter Vorbehalt einer allfälligen Stellvertretung insbesondere aufgrund von Abwesenheiten - antragsgemäss bekanntgegebene Spruchkörper wurde insofern geändert, als die Drittrichterin Regula Schenker Senn aufgrund ihres Abteilungswechsels durch Richterin Roswitha Petry ersetzt wurde.</w:t>
      </w:r>
    </w:p>
    <w:p>
      <w:r>
        <w:rPr>
          <w:b/>
        </w:rPr>
        <w:t>E. 4.1</w:t>
      </w:r>
    </w:p>
    <w:p>
      <w:r>
        <w:t>Der Beschwerdeführer macht formelle Rügen geltend, die vorab zu prüfen sind, da sie zu einer Kassation der angefochtenen Verfügung führen können.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4.3</w:t>
      </w:r>
    </w:p>
    <w:p>
      <w:r>
        <w:t>Das Verwaltungs- respektive Asylverfahren wird vom Untersuchungsgrundsatz beherrscht (Art. 12 VwVG i.V.m. Art. 6 AsylG). Demnach hat die Behörde von Amtes wegen für die richtige und vollständige Abklärung des rechtserheblichen Sachverhaltes zu sorgen. Unrichtig ist die Sachverhaltsfeststellung dann, wenn der Verfügung ein falscher und aktenwidriger Sachverhalt zugrunde gelegt wird. Unvollständig ist die Sachverhaltsfeststellung demgegenüber, wenn nicht alle für den Entscheid rechtsrelevanten Sachumstände berücksichtigt wurden.</w:t>
      </w:r>
    </w:p>
    <w:p>
      <w:r>
        <w:rPr>
          <w:b/>
        </w:rPr>
        <w:t>E. 5.1</w:t>
      </w:r>
    </w:p>
    <w:p>
      <w:r>
        <w:t>Soweit der Beschwerdeführer in seiner Eingabe vom 16. März 2018 erneut um Offenlegung der Quellen des Lageberichts des SEM «Focus Sri Lanka, Lagebild, Version 16. August 2016» ersucht, ist auf die Zwischenverfügung vom 2. März 2018 zu verweisen. Darin wurde entsprechend der Gerichtspraxis (vgl. statt vieler Urteil des BVGer D-1510/2018 vom 14. Juni 2018 E. 6.3 m.w.H.) der erwähnte Antrag abgewiesen. Die diesbezügliche Kritik des Beschwerdeführers in seiner Eingabe vom 16. März 2018 vermag zu keiner anderen Einschätzung zu führen. Die Rüge, das SEM stütze sich auf ein manipuliertes Lagebild, geht ohnehin ins Leere, hat das SEM diesen Bericht doch in der angefochtenen Verfügung nicht zitiert. Ob die vom Beschwerdeführer als falsch, manipuliert und veraltet gerügte Lageeinschätzung des SEM in Bezug auf Sri Lanka dennoch zutreffend ist, ist keine formelle Frage, sondern gegebenenfalls im Rahmen der materiellen Würdigung der Argumente der Parteien durch das Gericht zu berücksichtigen.</w:t>
      </w:r>
    </w:p>
    <w:p>
      <w:r>
        <w:rPr>
          <w:b/>
        </w:rPr>
        <w:t>E. 5.2</w:t>
      </w:r>
    </w:p>
    <w:p>
      <w:r>
        <w:t>Des Weiteren stellt der monierte zeitliche Abstand zwischen der BzP und der Anhörung keine Verletzung des rechtlichen Gehörs dar, zumal es sich bei der vom Beschwerdeführer angerufenen Empfehlung, die Anhörung möglichst zeitnah zur BzP durchzuführen, um keine justiziable Verfahrenspflicht handelt (vgl. Urteil des BVGer E-1277/2018 vom 3. April 2018 E. 4.3). Der Umstand, dass die Anhörung erst eineinhalb Jahre nach der BzP stattfand, ist auf die hohe Geschäftslast des SEM zurückzuführen und stellt weder eine Verletzung des rechtlichen Gehörs noch der Abklärungspflicht dar. Bei dem ins Recht geführten Rechtsgutachten handelt es sich lediglich um eine Empfehlung von Prof. Dr. Walter Kälin an das SEM, aus welchem der Beschwerdeführer keine Ansprüche ableiten kann. Dasselbe gilt für die Medienmitteilung des SEM vom 26. Mai 2014. Angesichts der nicht vorhersehbaren und durch die schweizerischen Asylbehörden nicht steuerbaren Geschäftslast wäre die Erwartung, solche Ordnungsfristen könnten ungeachtet der Anzahl der gestellten Asylgesuche ausnahmslos eingehalten werden, nicht realistisch.</w:t>
      </w:r>
    </w:p>
    <w:p>
      <w:r>
        <w:rPr>
          <w:b/>
        </w:rPr>
        <w:t>E. 5.3</w:t>
      </w:r>
    </w:p>
    <w:p>
      <w:r>
        <w:t>Weiter beanstandet der Beschwerdeführer die Übersetzung der Anhörung und beantragt, das SEM habe offenzulegen, welchem Auswahlverfahren die anlässlich der Anhörung tätige Übersetzerin unterzogen worden sei und wie sich ihre sprachlichen Kompetenzen beziehungsweise Schulung darstelle. Den Protokollen sind jedoch insgesamt keine nennenswerten Hinweise dafür zu entnehmen, dass der Dolmetscher (männlich) nicht in der Lage gewesen wäre, die Fragen und Antworten zu übersetzen; sie lassen auch keine Zweifel an dessen Qualifikation zu. Die marginale Korrektur im Rahmen der Rückübersetzung der Anhörung untermauert die Schlussfolgerung, dass keineswegs auf eine inhaltlich mangelhafte Übersetzung oder Protokollierung geschlossen werden kann (SEM-Akten A15 S. 6). Zudem bestätigte der Beschwerdeführer, den Dolmetscher sehr gut verstanden zu haben (z. B. SEM-Akten A15 S. 1), und der anwesenden Hilfswerksvertretung sind keine Verständigungsprobleme aufgefallen, was sie andernfalls protokolliert hätte (SEM-Akten A15 S. 25). Entsprechend sieht sich das Gericht auch nicht dazu veranlasst, die Qualifikation des Dolmetschers in Frage zu stellen oder von der Vorinstanz die Offenlegung der Auswahlverfahren von Dolmetscherinnen und Dolmetschern beziehungsweise die Darstellung von deren sprachlichen Kompetenzen respektive ihre Schulung zu verlangen. Der entsprechende Antrag ist abzuweisen.</w:t>
      </w:r>
    </w:p>
    <w:p>
      <w:r>
        <w:rPr>
          <w:b/>
        </w:rPr>
        <w:t>E. 5.4</w:t>
      </w:r>
    </w:p>
    <w:p>
      <w:r>
        <w:t>Es ist jedoch dem Beschwerdeführer darin beizupflichten, dass der angefochtenen Verfügung keine Prüfung der Risikofaktoren gemäss dem Referenzurteil des Bundesverwaltungsgerichts E-1866/2015 vom 15. Juli 2016 zu entnehmen ist. Vor dem Hintergrund, dass der Beschwerdeführer darlegte, aus einer Familie mit Bezug zu den LTTE zu stammen, in der Anhörung explizit seinen Bruder sowie dessen Rehabilitationsprogramm als LTTE-Kämpfer erwähnte (z. B. SEM-Akten A15 F98 f.) und hierzu wesentliche Beweismittel einreichte (SEM-Akten A16) genügt es nicht, lediglich im Rahmen der Zulässigkeit des Wegweisungsvollzugs eine pauschale Risikoeinschätzung vorzunehmen. Selbst wenn die Vorinstanz zum Schluss gelangt, dass der Beschwerdeführer keine asylrechtlich relevanten Vorfluchtgründe hat glaubhaft machen können, ist sie vorliegend gehalten, die im Referenzurteil E-1866/2015 genannten Risikofaktoren für Verhaftung und Folter bei einer Rückkehr nach Sri Lanka individuell zu prüfen (a.a.O. E. 8.4). Gemäss dem Referenzurteil sind tatsächliche oder vermeintliche, aktuelle oder vergangene familiäre Anknüpfungspunkte zu den LTTE in jedem Fall zu prüfen, zumal diese als Hauptrisikofaktor gelten (a.a.O. E. 8.4.1).</w:t>
      </w:r>
    </w:p>
    <w:p>
      <w:r>
        <w:rPr>
          <w:b/>
        </w:rPr>
        <w:t>E. 6</w:t>
      </w:r>
    </w:p>
    <w:p>
      <w:r>
        <w:t>Wie vorstehend ausgeführt, ergibt sich aus dem Untersuchungsgrundsatz, dass die Behörde den rechtserheblichen Sachverhalt von Amtes wegen richtig und vollständig abklären muss. Indem es die Vorinstanz versäumte, die vorliegend gegebenen Risikofaktoren unter dem Gesichtspunkt der subjektiven Nachfluchtgründe zu prüfen, hat sie den Untersuchungsgrundsatz verletzt.</w:t>
      </w:r>
    </w:p>
    <w:p>
      <w:r>
        <w:rPr>
          <w:b/>
        </w:rPr>
        <w:t>E. 7.1</w:t>
      </w:r>
    </w:p>
    <w:p>
      <w:r>
        <w:t>Gemäss Art. 61 Abs. 1 VwVG entscheidet das Bundesverwaltungsgericht in der Sache selbst oder weist diese ausnahmsweise mit verbindlichen Weisungen an die Vorinstanz zurück.</w:t>
      </w:r>
    </w:p>
    <w:p>
      <w:r>
        <w:rPr>
          <w:b/>
        </w:rPr>
        <w:t>E. 7.2</w:t>
      </w:r>
    </w:p>
    <w:p>
      <w:r>
        <w:t>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und es rechtfertigt sich eine Kassation der angefochtenen Verfügung. Im Übrigen bleibt auf diese Weise der Instanzenzug erhalten, was umso wichtiger ist, als das Bundesverwaltungsgericht letztinstanzlich entscheidet. Angesichts der Rückweisung der Sache erübrigt sich eine Auseinandersetzung mit den weiteren Vorbringen auf Beschwerdeebene, weil das Beschwerdedossier ebenfalls Gegenstand des wiederaufzunehmenden erstinstanzlichen Verfahrens sein und die Vorinstanz sich damit zu befassen haben wird.</w:t>
      </w:r>
    </w:p>
    <w:p>
      <w:r>
        <w:rPr>
          <w:b/>
        </w:rPr>
        <w:t>E. 8</w:t>
      </w:r>
    </w:p>
    <w:p>
      <w:r>
        <w:t>Nach dem Gesagten ist die Beschwerde gutzuheissen, soweit die Aufhebung der angefochtenen Verfügung beantragt wird. Die Verfügung vom 19. Januar 2018 ist aufzuheben und die Sache zur vollständigen Feststellung des Sachverhalts und anschliessenden Neubeurteilung - unter Würdigung aller entscheidwesentlichen Sachverhaltselemente sowie der auf Beschwerdeebene neu eingereichten Beweismittel - an die Vorinstanz zurückzuweisen. Hiermit werden die übrigen Beschwerdebegehren gegenstandslos.</w:t>
      </w:r>
    </w:p>
    <w:p>
      <w:r>
        <w:rPr>
          <w:b/>
        </w:rPr>
        <w:t>E. 9.1</w:t>
      </w:r>
    </w:p>
    <w:p>
      <w:r>
        <w:t>Bei diesem Ausgang des Verfahrens sind keine Kosten zu erheben (Art. 63 Abs. 1 und 2 VwVG). Der am 16. März 2018 in Höhe von Fr. 1'200.- geleistete Kostenvorschuss ist zurückzuerstatten.</w:t>
      </w:r>
    </w:p>
    <w:p>
      <w:r>
        <w:rPr>
          <w:b/>
        </w:rPr>
        <w:t>E. 9.2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Im vorliegenden Verfahren wurde keine Kostennote eingereicht, weshalb die notwendigen Parteikosten aufgrund der Akten zu bestimmen sind (Art. 14 Abs. 2 in fine VGKE). Entschädigungspflichtig ist nur der notwendige Aufwand, weshalb es zu berücksichtigen gilt, dass die Beschwerdeeingaben sowohl redundante Passagen als auch weitschweifige Ausführungen zur allgemeinen Lage in Sri Lanka, welche sich auch in den Eingaben des Rechtsvertreters in anderen Beschwerdeverfahren finden, enthalten. Die von der Vorinstanz zu entrichtende Parteientschädigung ist in Berücksichtigung dieser Umstände sowie der übrigen massgeblichen Bemessungsfaktoren auf Fr. 1'500.-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