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E-1113/2022 vom 17. März 2022</w:t>
      </w:r>
    </w:p>
    <w:p>
      <w:r>
        <w:t>Bundesverwaltungsgericht, 2022-03-17, DE</w:t>
      </w:r>
    </w:p>
    <w:p>
      <w:r>
        <w:rPr>
          <w:b/>
        </w:rPr>
        <w:t xml:space="preserve">Quelle: </w:t>
      </w:r>
      <w:r>
        <w:t>https://mcp.opencaselaw.ch/entscheid/bvger_E-1113_2022</w:t>
      </w:r>
    </w:p>
    <w:p>
      <w:r>
        <w:t>FR: TAF E-1113/2022 du 17 mars 2022</w:t>
      </w:r>
    </w:p>
    <w:p>
      <w:r>
        <w:t>IT: TAF E-1113/2022 del 17 marzo 2022</w:t>
      </w:r>
    </w:p>
    <w:p>
      <w:pPr>
        <w:pStyle w:val="Heading2"/>
      </w:pPr>
      <w:r>
        <w:t>Regeste</w:t>
      </w:r>
    </w:p>
    <w:p>
      <w:r>
        <w:t>Nichteintreten auf Asylgesuch und Wegweisung (Dublin-Verfahren)</w:t>
      </w:r>
    </w:p>
    <w:p>
      <w:pPr>
        <w:pStyle w:val="Heading2"/>
      </w:pPr>
      <w:r>
        <w:t>Erwägungen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w:t>
      </w:r>
    </w:p>
    <w:p>
      <w:r>
        <w:rPr>
          <w:b/>
        </w:rPr>
        <w:t>E. 2.3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2.4</w:t>
      </w:r>
    </w:p>
    <w:p>
      <w:r>
        <w:t>Der Beschwerdeführer erhebt diverse formelle Rügen, welche vorab zu beurteilen sind, da sie allenfalls geeignet wären, eine Kassation der vor- instanzlichen Verfügung zu bewirken.</w:t>
      </w:r>
    </w:p>
    <w:p>
      <w:r>
        <w:rPr>
          <w:b/>
        </w:rPr>
        <w:t>E. 2.4.1</w:t>
      </w:r>
    </w:p>
    <w:p>
      <w:r>
        <w:t>Die unrichtige oder unvollständige Feststellung des rechtserhebli- chen Sachverhalts kann nach Art. 49 Bst. b VwVG gerügt werden. Unrich- tig ist die Sachverhaltsfeststellung beispielsweise dann, wenn der Verfü- gung ein aktenwidriger oder nicht weiter belegbarer Sachverhalt zugrunde gelegt wurde. Unvollständig ist die Sachverhaltsfeststellung, wenn die Be- hörde trotz der geltenden Untersuchungsmaxime (Art. 12 ff. VwVG) den Sachverhalt nicht von Amtes wegen abgeklärt, oder nicht alle für den Ent- scheid wesentlichen Sachumstände berücksichtigt hat (vgl. SCHINDLER, in: Kommentar zum VwVG, 2. Aufl. 2019, Art. 49 N. 29).</w:t>
      </w:r>
    </w:p>
    <w:p>
      <w:r>
        <w:t>E-1113/2022 Seite 5 Gemäss Art. 29 VwVG haben die Parteien Anspruch auf rechtliches Gehör, welcher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Nicht erforderlich ist, dass sich die Be- gründung mit allen Parteistandpunkten einlässlich auseinandersetzt und jedes einzelne Vorbringen ausdrücklich widerlegt (vgl. BGE 143 III 65 E. 5.2).</w:t>
      </w:r>
    </w:p>
    <w:p>
      <w:r>
        <w:rPr>
          <w:b/>
        </w:rPr>
        <w:t>E. 2.4.1.1</w:t>
      </w:r>
    </w:p>
    <w:p>
      <w:r>
        <w:t>Der Beschwerdeführer rügt, die Sache sei wegen unvollständiger Feststellung des rechtserheblichen Sachverhalts sowie Verletzung der Un- tersuchungspflicht an die Vorinstanz zurückzuweisen. Die Vorinstanz habe den Sachverhalt im Hinblick auf die Anwendung der Souveränitätsklausel nicht vollständig abgeklärt. Zudem sei sein Gesundheitszustand nicht rechtsgenüglich erstellt worden. Insbesondere seien keine weiteren Abklä- rungen hinsichtlich des Ruhe- und Haltetremors und des tachykarden Vor- hofflimmern getroffen und diese Beschwerden auch in der Verfügung nicht aufgeführt worden. Zudem sei die Vorinstanz fälschlicherweise von einer verminderten Sehkraft des linken Auges ausgegangen.</w:t>
      </w:r>
    </w:p>
    <w:p>
      <w:r>
        <w:rPr>
          <w:b/>
        </w:rPr>
        <w:t>E. 2.4.1.2</w:t>
      </w:r>
    </w:p>
    <w:p>
      <w:r>
        <w:t>Der Gesundheitszustand des Beschwerdeführers ist durch die Da- tenblätter ORS mit Einträgen vom 4. und 25. Januar 2022 sowie vom 1. und 15. Februar 2022 dokumentiert. Es konnte festgestellt werden, dass er an Schlafstörungen, Halluzinationen, einer depressiven Verstimmung sowie tachykardem Vorhofflimmern leidet. Ihm wurden Medikamente ver- schrieben und aufgrund seiner psychischen Beschwerden fanden am 28. Februar 2022 sowie am 7. März 2022 Termine bei einem Psychiater statt. Durch die Einnahme des Medikaments Risperidon (Antipsychotikum) wurde ein Ruhe- und Haltetremor (Muskelzittern) festgestellt. Zudem be- steht ein Verdacht auf Hyperthyreose (Schilddrüsenüberfunktion). Beim Er- wähnen des linken statt des rechten Auges handelt es sich offensichtlich um einen Schreibfehler. In antizipierter Beweiswürdigung ist davon auszu- gehen, dass aufgrund der festgestellten Gesundheitsprobleme – selbst wenn gewisse Erkrankungen in der angefochtenen Verfügung der Vorinstanz nicht aufgeführt wurden – keine weiteren Abklärungen nötig wa- ren. Die Vorinstanz hat den rechtserheblichen Sachverhalt somit vollstän- dig festgestellt und die Untersuchungspflicht nicht verletzt.</w:t>
      </w:r>
    </w:p>
    <w:p>
      <w:r>
        <w:t>E-1113/2022 Seite 6</w:t>
      </w:r>
    </w:p>
    <w:p>
      <w:r>
        <w:rPr>
          <w:b/>
        </w:rPr>
        <w:t>E. 2.4.2</w:t>
      </w:r>
    </w:p>
    <w:p>
      <w:r>
        <w:t>Der Beschwerdeführer moniert, die Vorinstanz habe die Begrün- dungspflicht verletzt, indem sie sich nur oberflächlich mit der Möglichkeit eines Selbsteintritts der Schweiz aus humanitären Gründen auseinander- gesetzt habe. Die Vorinstanz hat sich in der Begründung zu den wesentlichen gesund- heitlichen Problemen und den völkerrechtlichen Verpflichtungen Frank- reichs geäussert. Deren Würdigung ist eine materielle Frage, die nachfol- gend zu prüfen ist. Es liegt somit keine Verletzung der Begründungspflicht (Art. 35 Abs. 1 VwVG) vor.</w:t>
      </w:r>
    </w:p>
    <w:p>
      <w:r>
        <w:rPr>
          <w:b/>
        </w:rPr>
        <w:t>E. 2.4.3</w:t>
      </w:r>
    </w:p>
    <w:p>
      <w:r>
        <w:t>Die formellen Rügen erweisen sich angesichts dieser Sachlage als unbegründet, weshalb keine Veranlassung besteht, die angefochtene Ver- fügung aufzuheben und die Sache an die Vorinstanz zurückzuweisen. Das entsprechende Rechtsbegehren ist somit abzuweisen.</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 wie vorliegend – findet grundsätzlich keine (neue) Zuständigkeitsprüfung nach Kapitel III Dublin-III-VO mehr statt (vgl. zum Ganzen BVGE 2017 VI/5 E. 6.2 und 8.2.1). Die französischen Behörden stimmten dem Übernahmeersuchen der Vor- instanz innert der in Art. 25 Abs. 1 Dublin-III-VO festgelegten Frist zu. Die Zuständigkeit Frankreichs ist somit grundsätzlich gegeben, was vom Be- schwerdeführer auch nicht bestritten wird.</w:t>
      </w:r>
    </w:p>
    <w:p>
      <w:r>
        <w:rPr>
          <w:b/>
        </w:rPr>
        <w:t>E. 3.3</w:t>
      </w:r>
    </w:p>
    <w:p>
      <w:r>
        <w:t>Erweist es sich als unmöglich, einen Antragsteller an den zunächst als zuständig bestimmten Mitgliedstaat zu überstellen, da es wesentliche</w:t>
      </w:r>
    </w:p>
    <w:p>
      <w:r>
        <w:t>E-1113/2022 Seite 7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3.4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4.1</w:t>
      </w:r>
    </w:p>
    <w:p>
      <w:r>
        <w:t>Der Beschwerdeführer macht geltend, ältere Personen würden in Frankreich zu den vulnerablen Personen gehören. Allerdings würden bei der Identifikation der Vulnerabilität häufig Probleme entstehen, womit ver- hindert werde, dass vulnerable Personen adäquat untergebracht werden könnten. Vulnerablen Personen werde nach einer Überstellung nach Frankreich nur mangelhaft oder mit Verzögerung Zugang zu Unterbringung sowie medizinischer Versorgung gewährt und in gewissen Fällen sogar verweigert. Trotz seines fortgeschrittenen Alters habe er in Frankreich keine Unterstützung, keine medizinische Versorgung und für das Asylver- fahren keine Rechtsvertretung erhalten.</w:t>
      </w:r>
    </w:p>
    <w:p>
      <w:r>
        <w:rPr>
          <w:b/>
        </w:rPr>
        <w:t>E. 4.2</w:t>
      </w:r>
    </w:p>
    <w:p>
      <w:r>
        <w:t>Frankreich ist Signatarstaat der EMRK, des Übereinkommens vom 10. Dezember 1984 gegen Folter und andere grausame, unmenschliche oder erniedrigende Behandlung oder Strafe (FoK, SR 0.105) und der FK sowie des Zusatzprotokolls der FK vom 31. Januar 1967 (SR 0.142.301)</w:t>
      </w:r>
    </w:p>
    <w:p>
      <w:r>
        <w:t>E-1113/2022 Seite 8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 ternationalen Schutzes (sog. Verfahrensrichtlinie, ABl. L 180/96 vom 29. Juni 2013) sowie 2013/33/EU vom 26. Juni 2013 zur Festlegung von Normen für die Aufnahme von Personen, die internationalen Schutz bean- tragen (sog. Aufnahmerichtlinie, ABl. L 180/96 vom 29. Juni 2013) ergeben. An dieser Einschätzung vermögen die Hinweise in der Beschwerde auf Be- richte über die allgemeine Situation für Asylsuchende in Frankreich und die eigene Situation des Beschwerdeführers nichts zu ändern. Folglich weisen das Asylverfahren und das Aufnahmesystem in Frankreich keine systema- tischen Mängel auf, welche eine Anwendung von Art. 3 Abs. 2 Dublin-III- VO rechtfertigen würden (Urteile des BVGer E-2905/2021 vom 29. Juni 2021 E. 5.1; F-2682/2021 vom 23. Juni 2021 E. 7).</w:t>
      </w:r>
    </w:p>
    <w:p>
      <w:r>
        <w:rPr>
          <w:b/>
        </w:rPr>
        <w:t>E. 5.1</w:t>
      </w:r>
    </w:p>
    <w:p>
      <w:r>
        <w:t>Der Beschwerdeführer bringt vor, aufgrund seines Alters und seiner ge- sundheitlichen Beschwerden gehöre er in Frankreich zu den vulnerablen Personen. Er habe dort auf der Strasse gelebt, sich von Abfall ernährt und keinen Zugang zu medizinischen Einrichtungen gehabt. Bei einer Überstel- lung nach Frankreich drohe eine Verletzung von Art. 3 EMRK. Die Schweiz habe daher ihr Recht auf Selbsteintritt nach Art. 17 Abs. 1 Dublin-III-VO auszuüben.</w:t>
      </w:r>
    </w:p>
    <w:p>
      <w:r>
        <w:rPr>
          <w:b/>
        </w:rPr>
        <w:t>E. 5.2</w:t>
      </w:r>
    </w:p>
    <w:p>
      <w:r>
        <w:t>Anlässlich des Dublin-Gesprächs gab der Beschwerdeführer an, es gehe ihm psychisch nicht gut und die Sehkraft seines rechten Auges habe stark abgenommen. Gemäss den vorliegenden Datenblättern ORS leidet er an Schlafstörungen, Halluzinationen, einer depressiven Verstimmung sowie tachykardem Vorhofflimmern. Ihm wurden Medikamente verschrie- ben und aufgrund seiner psychischen Beschwerden finden Termine bei ei- nem Psychiater statt. Durch die Einnahme des Medikaments Risperidon (Antiosychotikum) wurde ein Ruhe- und Haltetremor (Muskelzittern) fest- gestellt. Zudem besteht ein Verdacht auf Hyperthyreose (Schilddrüsen- überfunktion). Die Gesundheitsprobleme erweisen sich demnach als nicht so gravierend, dass er im Falle einer Überstellung nach Frankreich mit dem Risiko einer ernsten, raschen und unwiederbringlichen Verschlechterung seines Gesundheitszustandes konfrontiert wäre (vgl. Urteil des EGMR Pa- poshvili gegen Belgien 13. Dezember 2016, Grosse Kammer 41738/10, §§ 180–193 m.w.H.; BVGE 2017 VI/7 E. 6.2), womit es keiner individuellen</w:t>
      </w:r>
    </w:p>
    <w:p>
      <w:r>
        <w:t>E-1113/2022 Seite 9 Zusicherungen der französischen Behörden bezüglich medizinischer Ver- sorgung bedarf. Sollte der Beschwerdeführer dennoch auf eine Behand- lung angewiesen sein, so ist darauf hinzuweisen, dass Frankreich über eine ausreichende medizinische Infrastruktur verfügt. Selbst wenn seine Asylgesuche in Frankreich abgewiesen wurden, ist Frankreich weiterhin verpflichtet ihm die erforderliche medizinische Versorgung, die zumindest die Notversorgung und die unbedingt erforderliche Behandlung von Krank- heiten umfasst, zugänglich zu machen und die spezifischen Bedürfnisse schutzbedürftiger Personen zu berücksichtigen, namentlich gemäss Art. 15 und 17 Aufnahmerichtlinie beziehungsweise allenfalls Art. 14 Abs. 1 Bst. b und d Richtlinien des Europäischen Parlaments und des Rates 2008/115/EG vom 16. Dezember 2008 über gemeinsame Normen und Ver- fahren in den Mitgliedstaaten zur Rückführung illegal aufhältiger Dritt- staatsangehöriger (sog. Rückführungsrichtlinie, ABl. L 348/98 vom 24. De- zember 2008) – sollte der Beschwerdeführer nicht mehr im Hoheitsgebiet Frankreichs verbleiben dürfen (vgl. Art. 3 Aufnahmerichtlinie). Es liegen so- mit keine Anhaltspunkte vor, wonach dem Beschwerdeführer dort eine adä- quate medizinische Behandlung verweigert würde. Im Übrigen gelten Per- sonen im fortgeschrittenen Alter in Frankreich zu den vulnerablen Perso- nen, womit eine besondere Betreuung sowie ein prioritärer Zugang zur me- dizinischen Infrastruktur gewährleistet ist. Die Vorinstanz hat zudem in der angefochtenen Verfügung explizit festgehalten, dass die französischen Be- hörden vor dem Vollzug der Überstellung über den Gesundheitszustand, die notwendige medizinische Behandlung sowie die Weiterführung der be- gonnenen Therapie des Beschwerdeführers informiert werden (vgl. Art. 31 f. Dublin-III-VO). Bei einer Rückweisung nach Frankreich droht somit keine Verletzung von Art. 3 EMRK, weshalb die Schweiz nicht zum Selbsteintritt nach Art. 17 Abs. 1 Dublin-III-VO verpflichtet ist.</w:t>
      </w:r>
    </w:p>
    <w:p>
      <w:r>
        <w:rPr>
          <w:b/>
        </w:rPr>
        <w:t>E. 5.3</w:t>
      </w:r>
    </w:p>
    <w:p>
      <w:r>
        <w:t>Insgesamt ergibt sich, dass das SEM mit zutreffender Begründung ei- nen Selbsteintritt gestützt auf Art. 17 Abs. 1 Dublin-III-VO abgelehnt hat und das ihm gemäss Art. 29a Abs. 3 AsylV 1 zustehende Ermessen geset- zeskonform ausgeübt hat.</w:t>
      </w:r>
    </w:p>
    <w:p>
      <w:r>
        <w:rPr>
          <w:b/>
        </w:rPr>
        <w:t>E. 5.4</w:t>
      </w:r>
    </w:p>
    <w:p>
      <w:r>
        <w:t>Nach dem Gesagten ist nicht davon auszugehen, der Beschwerdefüh- rer würde bei einer Überstellung nach Frankreich dort in eine existenzielle Notlage geraten. Insgesamt besteht damit kein Grund für eine Anwendung der Ermessensklausel von Art. 17 Abs. 1 Dublin-III-VO. Wie vorstehend er- wähnt ist zudem auch die Ermessensprüfung gemäss Art. 29a Abs. 3 AsylV 1 gesetzeskonform ausgefallen. Somit bleibt Frankreich der für die Be-</w:t>
      </w:r>
    </w:p>
    <w:p>
      <w:r>
        <w:t>E-1113/2022 Seite 10 handlung des Asylgesuchs beziehungsweise Beendigung des Asylverfah- rens des Beschwerdeführers zuständige Mitgliedstaat gemäss Dublin-III- VO.</w:t>
      </w:r>
    </w:p>
    <w:p>
      <w:r>
        <w:rPr>
          <w:b/>
        </w:rPr>
        <w:t>E. 6</w:t>
      </w:r>
    </w:p>
    <w:p>
      <w:r>
        <w:t>Nach dem Gesagten ist die Beschwerde abzuweisen. Mit dem vorliegen- den Urteil fällt der am 10. März 2022 angeordnete Vollzugsstopp dahin. Das Gesuch um Erteilung der aufschiebenden Wirkung ist gegenstandslos geworden.</w:t>
      </w:r>
    </w:p>
    <w:p>
      <w:r>
        <w:rPr>
          <w:b/>
        </w:rPr>
        <w:t>E. 7.1</w:t>
      </w:r>
    </w:p>
    <w:p>
      <w:r>
        <w:t>Die Begehren erweisen sich als aussichtslos, weshalb das Gesuch um Gewährung der unentgeltlichen Prozessführung ungeachtet einer allfälli- gen prozessualen Bedürftigkeit abzuweisen ist (Art. 65 Abs. 1 VwVG).</w:t>
      </w:r>
    </w:p>
    <w:p>
      <w:r>
        <w:rPr>
          <w:b/>
        </w:rPr>
        <w:t>E. 7.2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E-1113/2022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