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E-1113/2017 vom 4. Januar 2019</w:t>
      </w:r>
    </w:p>
    <w:p>
      <w:r>
        <w:t>Bundesverwaltungsgericht, 2019-01-04, DE</w:t>
      </w:r>
    </w:p>
    <w:p>
      <w:r>
        <w:rPr>
          <w:b/>
        </w:rPr>
        <w:t xml:space="preserve">Quelle: </w:t>
      </w:r>
      <w:r>
        <w:t>https://mcp.opencaselaw.ch/entscheid/bvger_E-1113_2017</w:t>
      </w:r>
    </w:p>
    <w:p>
      <w:r>
        <w:t>FR: TAF E-1113/2017 du 4 janvier 2019</w:t>
      </w:r>
    </w:p>
    <w:p>
      <w:r>
        <w:t>IT: TAF E-1113/2017 del 4 gennaio 2019</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Gegenstand des vorliegenden Beschwerdeverfahrens bilden - wie bereits in der Zwischenverfügung vom 28. Februar 2017 festgestellt - die verfügte Wegweisung und der Vollzug der Wegweisung. Die Ziffern 1 (Verneinung der Flüchtlingseigenschaft) und 2 (Ablehnung des Asylgesuchs) der Verfügung vom 20. Januar 2017 sind daher mangels Anfechtung in Rechtskraft erwachsen. Auf die Ausführungen in der Beschwerdeschrift betreffend Glaubhaftmachen der illegalen Ausreise ist somit nicht weiter einzugehen.</w:t>
      </w:r>
    </w:p>
    <w:p>
      <w:r>
        <w:rPr>
          <w:b/>
        </w:rPr>
        <w:t>E. 4</w:t>
      </w:r>
    </w:p>
    <w:p>
      <w:r>
        <w:t>Über offensichtlich unbegründete Beschwerden wird in einzelrichterlicher Zuständigkeit mit Zustimmung eines zweiten Richters beziehungsweise einer zweiten Richterin entschieden (Art. 111 Bst. e AsylG). Wie nachfolgend aufgezeigt wird, handelt es sich um ein Rechtsmittel, das durch zwei Urteile des Bundesverwaltungsgerichts (Urteil D-2311/2016 vom 17. August 2017 und E-5022/2017 vom 10. Juli 2018, als Referenzurteile publiziert) offensichtlich unbegründet geworden ist. Das Urteil ist deshalb nur summarisch zu begründen (Art. 111a Abs. 2 AsylG). Gestützt auf Art. 111a Abs. 1 AsylG wurde vorliegend auf die Durchführung eines Schriftenwechsels verzichtet.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2009/50 E. 9, je m.w.H.). Die Wegweisung wurde demnach zu Recht angeordnet.</w:t>
      </w:r>
    </w:p>
    <w:p>
      <w:r>
        <w:rPr>
          <w:b/>
        </w:rPr>
        <w:t>E. 6.1</w:t>
      </w:r>
    </w:p>
    <w:p>
      <w:r>
        <w:t>Ist der Vollzug der Wegweisung nicht zulässig, nicht zumutbar oder nicht möglich, regelt das Staatssekretariat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In der Rechtsmitteleingabe führt der Beschwerdeführer aus, der Wegweisungsvollzug sei angesichts der ihm in Eritrea drohenden Einziehung in den Nationaldienst unzulässig beziehungsweise unzumutbar. Er macht insbesondere geltend, der vom SEM angeordnete Vollzug verletze seine durch Art. 3 und 4 EMRK geschützten Menschenrechte.</w:t>
      </w:r>
    </w:p>
    <w:p>
      <w:r>
        <w:rPr>
          <w:b/>
        </w:rPr>
        <w:t>E. 7.2</w:t>
      </w:r>
    </w:p>
    <w:p>
      <w:r>
        <w:t>Aufgrund des Alters des Beschwerdeführers - bei seiner Ausreise aus Eritrea und im heutigen Zeitpunkt - erscheint seine Befürchtung, bei einer Rückkehr in den Nationaldienst eingezogen zu werden, als plausibel (vgl. zur eritreischen Musterungspraxis auch das Referenzurteil D-2311/2016 vom 17. August 2017, E. 13.2-13.4).</w:t>
      </w:r>
    </w:p>
    <w:p>
      <w:r>
        <w:rPr>
          <w:b/>
        </w:rPr>
        <w:t>E. 8.1</w:t>
      </w:r>
    </w:p>
    <w:p>
      <w:r>
        <w:t>Das Bundesverwaltungsgericht hat sich mit dem Referenzurteil E-5022/2017 mit den Fragen befasst, ob der Vollzug der Wegweisung auch angesichts einer drohenden Einziehung in den eritreischen Nationaldienst als zulässig (Art. 83 Abs. 3 AIG) und zumutbar (Art. 83 Abs. 4 AIG) qualifiziert werden könne. Beides hat das Gericht mit den folgenden Erwägungen bejaht:</w:t>
      </w:r>
    </w:p>
    <w:p>
      <w:r>
        <w:rPr>
          <w:b/>
        </w:rPr>
        <w:t>E. 8.2</w:t>
      </w:r>
    </w:p>
    <w:p>
      <w:r>
        <w:t>Die Verpflichtung eritreischer Staatsbürgerinnen und Staatsbürger, Nationaldienst zu leisten, kann nach Auffassung des Gerichts nicht als Ausübung quasi 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a.a.O. E. 6.1 insbes. 6.1.4).</w:t>
      </w:r>
    </w:p>
    <w:p>
      <w:r>
        <w:rPr>
          <w:b/>
        </w:rPr>
        <w:t>E. 8.3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8.4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8.5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AIG führt (vgl. a.a.O. E. 6.2).</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Die Vorinstanz wies in ihrer angefochtenen Verfügung zutreffend darauf hin, dass das Prinzip des flüchtlingsrechtlichen Non-Refoulement nur Personen schützt, die die Flüchtlingseigenschaft erfüllen. Nachdem rechtskräftig festgestellt wurde, dass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9.3</w:t>
      </w:r>
    </w:p>
    <w:p>
      <w:r>
        <w:t>Nach dem vorstehend Ausgeführten stehen - selbst wenn der Beschwerdeführer bei seiner Rückkehr nach Eritrea in den Nationaldienst eingezogen würde - einerseits das Verbot der Sklaverei und der Leibeigenschaft (Art. 4 Abs. 1 EMRK) dem Vollzug seiner Wegweisung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9.4</w:t>
      </w:r>
    </w:p>
    <w:p>
      <w:r>
        <w:t>Aus den Akten ergeben sich keine Anhaltspunkte für die Annahme, der Beschwerdeführer müsste bei einer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w:t>
      </w:r>
    </w:p>
    <w:p>
      <w:r>
        <w:rPr>
          <w:b/>
        </w:rPr>
        <w:t>E. 9.5</w:t>
      </w:r>
    </w:p>
    <w:p>
      <w:r>
        <w:t>Der Vollzug der Wegweisung des Beschwerdeführers erweist sich damit - sowohl im Sinn der asyl- als auch der völkerrechtlichen Bestimmungen - als zulässig.</w:t>
      </w:r>
    </w:p>
    <w:p>
      <w:r>
        <w:rPr>
          <w:b/>
        </w:rPr>
        <w:t>E. 9.6</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9.7</w:t>
      </w:r>
    </w:p>
    <w:p>
      <w:r>
        <w:t>Wie vorstehend dargelegt, vermag eine allfällige Einziehung in den eritreischen Nationaldienst allein nicht zur Annahme einer existenziellen Gefährdung zu führen.</w:t>
      </w:r>
    </w:p>
    <w:p>
      <w:r>
        <w:rPr>
          <w:b/>
        </w:rPr>
        <w:t>E. 9.8</w:t>
      </w:r>
    </w:p>
    <w:p>
      <w:r>
        <w:t>Im Referenzurteil D-2311/2016 hatte sich das Bundesverwaltungsgericht ausführlich mit der Zumutbarkeit des Wegweisungsvollzugs nach Eritrea beschäftigt. Dabei kam es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9.9</w:t>
      </w:r>
    </w:p>
    <w:p>
      <w:r>
        <w:t>Beim Beschwerdeführer handelt es sich um einen rund (...)-jährigen, gesunden Mann mit einer (...)jährigen Schulbildung und Arbeitserfahrung in der (...). Besondere individuelle Umstände, aufgrund derer bei einer Rückkehr nach Eritrea, wo seine Geschwister und weitere Verwandte leben, von einer existenziellen Bedrohung ausgegangen werden müsste, sind den Akten nicht zu entnehmen.</w:t>
      </w:r>
    </w:p>
    <w:p>
      <w:r>
        <w:rPr>
          <w:b/>
        </w:rPr>
        <w:t>E. 9.10</w:t>
      </w:r>
    </w:p>
    <w:p>
      <w:r>
        <w:t>Nach dem Gesagten erweist sich der Vollzug der Wegweisung auch als zumutbar.</w:t>
      </w:r>
    </w:p>
    <w:p>
      <w:r>
        <w:rPr>
          <w:b/>
        </w:rPr>
        <w:t>E. 10</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und auch sonst nicht zu beanstanden ist (Art. 106 Abs. 1 AsylG). Die Beschwerde ist abzuweisen.</w:t>
      </w:r>
    </w:p>
    <w:p>
      <w:r>
        <w:rPr>
          <w:b/>
        </w:rPr>
        <w:t>E. 13.1</w:t>
      </w:r>
    </w:p>
    <w:p>
      <w:r>
        <w:t>Bei diesem Ausgang des Verfahrens wären die Kosten dem Beschwerdeführer aufzuerlegen (Art. 63 Abs. 1 VwVG). Der Antrag auf Gewährung der unentgeltlichen Prozessführung wurde jedoch mit Zwischenverfügung vom 28. Februar 2017 gutgeheissen.</w:t>
      </w:r>
    </w:p>
    <w:p>
      <w:r>
        <w:rPr>
          <w:b/>
        </w:rPr>
        <w:t>E. 13.2</w:t>
      </w:r>
    </w:p>
    <w:p>
      <w:r>
        <w:t>Die Erfolgsaussichten respektive die Aussichtslosigkeit einer Beschwerde (gemäss Art. 65 Abs. 1 VwVG) ist mit Bezug auf den Zeitpunkt der Einreichung des Gesuchs um unentgeltliche Rechtspflege zu beurteilen (vgl. BGE 128 I 225 E. 2.5.3 und EMARK 2000 Nr. 6 E. 9, je m.w.H.; zuletzt E-2349/2018 E. 13.2 vom 26. Juli 2018). Zu diesem Zeitpunkt war die Beschwerde nicht aussichtslos. Die Gewährung der unentgeltlichen Prozessführung ist deshalb nicht zu widerrufen, zumal den Akten auch keine Hinweise auf eine massgebende Veränderung der finanziellen Verhältnisse zu entnehmen sind. Es sind daher keine Verfahrenskosten zu erheben.</w:t>
      </w:r>
    </w:p>
    <w:p>
      <w:r>
        <w:rPr>
          <w:b/>
        </w:rPr>
        <w:t>E. 13.3</w:t>
      </w:r>
    </w:p>
    <w:p>
      <w:r>
        <w:t>Mit Zwischenverfügung vom 28. Februar 2017 wurde dem Beschwerdeführer die unentgeltliche Rechtsverbeiständung gewährt und lic. iur. Ursina Bernhard als amtliche Vertreterin eingesetzt. Die Rechtsvertreterin macht in ihrer Honorarnote einen Aufwand von 8,5 Stunden zu einem Stundenansatz von Fr. 150.- und Auslagen in der Höhe von Fr. 50.- geltend. Der zeitliche Aufwand erscheint nicht angemessen und ist auf vier Stunden zu kürzen. Nicht zu entschädigen ist die geltend gemachte einmalige Pauschale von Fr. 50.- für Auslagen, da vom Gericht nur effektiv ausgewiesene Kosten entschädigt werden. Das vom Bundesverwaltungsgericht zu entrichtende Honorar ist demzufolge auf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