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E-1105/2016 vom 27. März 2018</w:t>
      </w:r>
    </w:p>
    <w:p>
      <w:r>
        <w:t>Bundesverwaltungsgericht, 2018-03-27, DE</w:t>
      </w:r>
    </w:p>
    <w:p>
      <w:r>
        <w:rPr>
          <w:b/>
        </w:rPr>
        <w:t xml:space="preserve">Quelle: </w:t>
      </w:r>
      <w:r>
        <w:t>https://mcp.opencaselaw.ch/entscheid/bvger_E-1105_2016</w:t>
      </w:r>
    </w:p>
    <w:p>
      <w:r>
        <w:t>FR: TAF E-1105/2016 du 27 mars 2018</w:t>
      </w:r>
    </w:p>
    <w:p>
      <w:r>
        <w:t>IT: TAF E-1105/2016 del 27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m.w.H.).</w:t>
      </w:r>
    </w:p>
    <w:p>
      <w:r>
        <w:rPr>
          <w:b/>
        </w:rPr>
        <w:t>E. 4</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bestünden;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5.1</w:t>
      </w:r>
    </w:p>
    <w:p>
      <w:r>
        <w:t>Nach Durchsicht der Akten kommt das Bundesverwaltungsgericht zum Schluss, dass dem Beschwerdeführer die behauptete Sozialisation in Tibet und somit in der Volksrepublik China aus den nachfolgenden Gründen nicht geglaubt werden kann.</w:t>
      </w:r>
    </w:p>
    <w:p>
      <w:r>
        <w:rPr>
          <w:b/>
        </w:rPr>
        <w:t>E. 5.1.1</w:t>
      </w:r>
    </w:p>
    <w:p>
      <w:r>
        <w:t>Dem Lingua-Gutachten ist zwar zu entnehmen, dass der Beschwerdeführer zahlreiche zutreffende Angaben im landeskundlich-kulturellen Bereich machen konnte. Dies belegt im Nachhinein denn auch, dass es im vorliegenden Fall durchaus angezeigt war, eine qualifizierte Herkunftsanalyse der Fachstelle Lingua erstellen zu lassen. Dass der Beschwerdeführer nicht wusste, auf welchem Amt er seinen Personalausweis, den er selbst beschafft haben will, ausstellen liess, erscheint aber dennoch merkwürdig. Auch im Rahmen des ihm dazu in genügender Weise gewährten rechtlichen Gehörs gab er auf Hinweis des SEM, er habe das Amt nicht bezeichnen können, welches die Identitätskarte ausgestellt habe, an, dass er dies nicht wisse, da die ausstellende Behörde auf dem Dokument in Chinesisch genannt werde. Dies vermag aus dem bereits vom SEM anlässlich des rechtlichen Gehörs dagegen vorgebrachten Einwand, dies sei sonderbar, weil er ja selbst vor dem Amt vorgesprochen habe, nicht zu überzeugen. Dass er auch sonst keine Namen von Ämtern kannte und eine falsche Bezeichnung für die Bank im Gemeindehauptort nannte, ist ebenso wenig nachvollziehbar und konnte von ihm denn auch im Rahmen des rechtlichen Gehörs nicht in überzeugender Weise erklärt werden. So gab er damals lediglich zu Protokoll, es treffe zu, dass er keine Namen von Behörden kenne, und die von ihm genannte Bank (deren Name er nicht nochmals erwähnte) gebe es wirklich. Das SEM hat somit - entgegen der Ansicht des Beschwerdeführers - zumindest diese beide Bereiche betreffend ein unzulängliches landeskundlich-kulturelles Wissen belegt. Der Entscheid des Gerichts, von der Unglaubhaftigkeit der vom Beschwerdeführer geltend gemachten Hauptsozialisation auszugehen, liegt aber in erster Linie im Resultat der linguistischen Analyse begründet. Es ist mit den Angaben des Beschwerdeführers nicht vereinbar, dass die sachverständige Person in ihrer Analyse fast keine Ähnlichkeiten zwischen seiner Sprechweise und dem Dialekt der Gebietshauptstadt und stattdessen fast ausschliesslich Gemeinsamkeiten mit der exiltibetischen Koine oder dem Lhasa-Dialekt feststellen konnte. Sein Einwand, seine Sprache habe sich durch seinen vierjährigen Aufenthalt im Ausland derart verändert, vermag nicht zu überzeugen. Wie die sachverständige Person im Gutachten in nachvollziehbarer Weise erläuterte, wäre eine solche Veränderung im Bereich der Wortwahl (Lexikon) noch verständlich gewesen. Die bei ihm auf der Ebene der Phonologie und Morphologie festgestellten überwiegenden Ähnlichkeiten mit der exiltibetischen Koine oder dem Lhasa-Dialekt liessen sich mit der genannten Aufenthaltsdauer im Ausland aber kaum erklären. Im Rahmen des rechtlichen Gehörs damit konfrontiert, vermochte der Beschwerdeführer diesem Schluss nichts Stichhaltiges entgegenzuhalten. Im Übrigen ist festzuhalten, dass die Lingua-Analyse fundiert und das daraus resultierende Gutachten überzeugend und ausgewogen begründet ist und somit zu keinen Beanstandungen Anlass gibt. Auch an der fachlichen Qualifikation der sachverständigen Person bestehen keine Zweifel.</w:t>
      </w:r>
    </w:p>
    <w:p>
      <w:r>
        <w:rPr>
          <w:b/>
        </w:rPr>
        <w:t>E. 5.1.2</w:t>
      </w:r>
    </w:p>
    <w:p>
      <w:r>
        <w:t>Diese Einschätzung des Gerichts wird durch die Tatsache untermauert, dass auch die Vorfluchtgründe des Beschwerdeführers unglaubhaft ausgefallen sind. Es erscheint realitätsfern, dass er und seine Freunde ihre Plakataktion direkt bei einer Kaserne des chinesischen Militärs durchgeführt haben sollen, ohne die Lage vor Ort vorgängig sorgfältig untersucht zu haben und nachdem sie kurz davor noch Militärpolizisten vor Ort gesehen hätten (vgl. A15/21, F136, F141). Ein derart unüberlegtes Vorgehen ist angesichts des damit verbundenen erheblichen Risikos einer Festnahme nicht nachvollziehbar und damit unplausibel. Ferner weisen die Aussagen des Beschwerdeführers anlässlich der BzP und bei der vertieften Anhörung nicht unerhebliche Widersprüche auf. Während er bei der BzP noch zu Protokoll gab, die Plakate in der Nacht vom (...) November 2011 aufgeklebt zu haben und am Morgen darauf geflohen zu sein, führte er anlässlich der Anhörung aus, die Plakataktion am Abend des [nächsten Tages] durchgeführt zu haben und noch in der gleichen Nacht - um Mitternacht - die Flucht ergriffen zu haben (A7/12, Rz. 7.02; A15/21, F135, F159f.). Ein Irrtum bezüglich des Datums wäre noch verständlich; dass er sich aber bezüglich des Zeitpunkts seiner Flucht in Ungereimtheiten verstrickt hat, legt die Vermutung nahe, dass sich diese nicht in der von ihm geschilderten Art zugetragen hat, was wiederum die Glaubhaftigkeit der Plakataktion in Frage stellt. Zudem gab der Beschwerdeführer anlässlich der BzP tatsächlich noch an, dass nur einer der beiden Freunde verhaftet worden sei (A7/12, Rz. 7.02). In der Anhörung führte er demgegenüber aus, beide Freunde seien verhaftet worden (A15/21, F155). Sein Einwand, er habe bereits bei der BzP von beiden Freunden gesprochen (A15/21, F161), überzeugt insofern nicht, als er den verhafteten Freund beim Namen nannte (A7/12, Rz. 7.02: F: "Wie heissen die Freunde, mit welchen Sie die Plakate aufhängten?" A: "Der eine heisst G._______ und der andere H._______. H._______ wurde verhaftet.").</w:t>
      </w:r>
    </w:p>
    <w:p>
      <w:r>
        <w:rPr>
          <w:b/>
        </w:rPr>
        <w:t>E. 5.1.3</w:t>
      </w:r>
    </w:p>
    <w:p>
      <w:r>
        <w:t>Mit Blick auf den Reiseweg erscheint es besonders realitätsfremd, dass der Beschwerdeführer weder den Namen des Transit- noch des Ankunftsflughafens und auch der Fluggesellschaft und des Bahnhofs, von dem aus er den Zug in die Schweiz bestiegen habe, wahrgenommen haben will (A7/12, Rz. 5.02; A15/21, F171).</w:t>
      </w:r>
    </w:p>
    <w:p>
      <w:r>
        <w:rPr>
          <w:b/>
        </w:rPr>
        <w:t>E. 5.2</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das SEM der Auffassung, dass der Beschwerdeführer seine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tragen (vgl. BVGE 2014/12 E. 5.10).</w:t>
      </w:r>
    </w:p>
    <w:p>
      <w:r>
        <w:rPr>
          <w:b/>
        </w:rPr>
        <w:t>E. 5.3</w:t>
      </w:r>
    </w:p>
    <w:p>
      <w:r>
        <w:t>Zusammenfassend ist demnach festzuhalten, dass zwar davon auszugehen ist, dass der Beschwerdeführer tibetischer Ethnie ist. Jedoch entbehren seine geltend gemachten Vorbringen hinsichtlich des Ortes seiner hauptsächlichen Sozialisation, seine Asylvorbringen und die Ausführungen zu seinem Reiseweg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Das SEM hat somit zu Recht seine Flüchtlingseigenschaft verneint und sein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4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Dieser stellte in seiner Rechtsmitteleingabe vom 23. Februar 2016 jedoch ein Gesuch um unentgeltliche Prozessführung, welches das Gericht mit Instruktionsverfügung vom 1. März 2016 guthiess. Da gemäss Auskunft der Sozialen Dienste der Gemeinde (...) nach wie vor von der Bedürftigkeit des Beschwerdeführers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