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E-1101/2023 vom 5. Mai 2023</w:t>
      </w:r>
    </w:p>
    <w:p>
      <w:r>
        <w:t>Bundesverwaltungsgericht, 2023-05-05, FR</w:t>
      </w:r>
    </w:p>
    <w:p>
      <w:r>
        <w:rPr>
          <w:b/>
        </w:rPr>
        <w:t xml:space="preserve">Quelle: </w:t>
      </w:r>
      <w:r>
        <w:t>https://mcp.opencaselaw.ch/entscheid/bvger_E-1101_2023</w:t>
      </w:r>
    </w:p>
    <w:p>
      <w:r>
        <w:t>FR: TAF E-1101/2023 du 5 mai 2023</w:t>
      </w:r>
    </w:p>
    <w:p>
      <w:r>
        <w:t>IT: TAF E-1101/2023 del 5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il se plaint d'abord d'une instruction insuffisante ainsi que d'un établissement incomplet des faits pertinents relatifs à son état de santé en lien avec les mauvais traitements prétendument subis au Burundi et en Croatie.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En l'occurrence, aucun manquement de la part du SEM ne saurait être retenu quant à la situation médicale de l'intéressé. Il ressort en effet du dossier que celui-ci a pu consulter un médecin pour ses diverses affections et que des diagnostics ont pu être posés (cf. Faits, let. G.). Le SEM a en outre statué sur la base des déclarations de l'intéressé et des documents médicaux figurant au dossier, en prenant en considération les éléments dont il avait alors connaissance. Ceux-ci ne font en aucun cas ressortir la nécessité pour le recourant d'entreprendre un suivi médical particulier, que ce soit en lien avec des atteintes d'ordre psychique ou somatique, ni celle d'instruire davantage sa situation médicale. Le seul fait qu'une demande de consultation en psychiatrie ait été formulée, en janvier 2023, ne contraignait pas le SEM à surseoir à statuer, ni à entreprendre des mesures d'instruction supplémentaires, les éléments du dossier ne laissant en effet pas entrevoir que le recourant souffrait de lourds problèmes de santé. Partant, l'autorité intimée était fondée à statuer sans procéder à d'autres mesures d'investigation, ni attendre l'établissement d'autres rapports médicaux. Le SEM n'a par conséquent pas violé son devoir d'instruction d'office s'agissant de l'état de santé du recourant.</w:t>
      </w:r>
    </w:p>
    <w:p>
      <w:r>
        <w:rPr>
          <w:b/>
        </w:rPr>
        <w:t>E. 2.3</w:t>
      </w:r>
    </w:p>
    <w:p>
      <w:r>
        <w:t>Le recourant reproche ensuite au SEM de ne pas avoir suffisamment motivé sa décision en lien avec la situation des requérants d'asile refoulés par la force aux frontières croates. L'autorité de première instance aurait en outre mal apprécié les faits en minimisant les mauvais traitements qu'il aurait personnellement subis en Croatie et en lui reprochant indirectement de ne pas avoir demandé l'asile dans cet Etat.</w:t>
      </w:r>
    </w:p>
    <w:p>
      <w:r>
        <w:rPr>
          <w:b/>
        </w:rPr>
        <w:t>E. 2.3.1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2.3.2</w:t>
      </w:r>
    </w:p>
    <w:p>
      <w:r>
        <w:t>S'agissant de la situation en Croatie, il convient de relever que la décision du SEM contient d'abondants développements sur ce sujet (cf. p. 4 ss de la décision querellée). L'autorité de première instance a, à bon escient, constaté que l'intéressé avait eu tout loisir de s'exprimer sur son séjour en Croatie et sur les violences qu'il y aurait subies (ce qu'il a d'ailleurs fait), lesquels sont expressément discutées dans ladite décision. Un défaut de motivation sur ce point peut donc être écarté. Quant à la critique formulée par le recourant au sujet de l'appréciation des faits du SEM, elle relève du fond et sera examinée ci-après.</w:t>
      </w:r>
    </w:p>
    <w:p>
      <w:r>
        <w:rPr>
          <w:b/>
        </w:rPr>
        <w:t>E. 2.4</w:t>
      </w:r>
    </w:p>
    <w:p>
      <w:r>
        <w:t>Dans ces conditions, les griefs d'ordre formel invoqués par le recourant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Eurodac (règlement [UE] n° 603/2013 du Parlement européen et du Conseil du 26 juin 2013 relatif à la création d'Eurodac pour la comparaison des empreintes digitales aux fins de l'application efficace du règlement [UE] n° 604/2013),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déjà relevé, les investigations entreprises par le SEM ont révélé, après consultation de l'unité centrale du système européen Eurodac, que le recourant a franchi la frontière du territoire des Etats Schengen en Croatie et que ses empreintes digitales y ont été enregistrées, le (...) octobre 2022. Bien qu'il ait déclaré ne pas avoir, sur le moment, compris pourquoi ses empreintes avaient été prises, il ne conteste pas s'être trouvé en Croatie à cette date. Or il ne peut être reproché aux autorités croates d'avoir procédé à l'enregistrement du recourant lors de son passage sur leur territoire, et d'avoir ainsi agi en conformité avec leurs obligations découlant des art. 9 par. 1 et 14 par. 1 du règlement Eurodac.</w:t>
      </w:r>
    </w:p>
    <w:p>
      <w:r>
        <w:rPr>
          <w:b/>
        </w:rPr>
        <w:t>E. 5.2</w:t>
      </w:r>
    </w:p>
    <w:p>
      <w:r>
        <w:t>Le 15 décembre 2022, le SEM a dès lors soumis aux autorités croates compétentes, dans les délais fixés à l'art. 21 par. 1 RD III, une requête aux fins de prise en charge de l'intéressé, fondée sur l'art. 13 par. 1 de ce même règlement.</w:t>
      </w:r>
    </w:p>
    <w:p>
      <w:r>
        <w:rPr>
          <w:b/>
        </w:rPr>
        <w:t>E. 5.3</w:t>
      </w:r>
    </w:p>
    <w:p>
      <w:r>
        <w:t>Par communication du 15 février 2023, soit dans le délai fixé par l'art. 22 par. 1 RD III, lesdites autorités ont expressément accepté de prendre en charge l'intéressé, sur la base de cette même disposition.</w:t>
      </w:r>
    </w:p>
    <w:p>
      <w:r>
        <w:rPr>
          <w:b/>
        </w:rPr>
        <w:t>E. 5.4</w:t>
      </w:r>
    </w:p>
    <w:p>
      <w:r>
        <w:t>La compétence de la Croatie pour le traitement de la demande d'asile du recourant est donc donnée, au regard des critères de détermination de l'Etat membre responsable (art. 7 ss RD III). Ce point n'est du reste pas contesté.</w:t>
      </w:r>
    </w:p>
    <w:p>
      <w:r>
        <w:rPr>
          <w:b/>
        </w:rPr>
        <w:t>E. 6.1</w:t>
      </w:r>
    </w:p>
    <w:p>
      <w:r>
        <w:t>Le recourant s'oppose toutefois à son transfert en Croatie au motif que ce pays présenterait des défaillances systémiques dans la procédure d'asile. Il invoque, de manière générale, les mauvaises conditions d'accueil des requérants d'asile dans ce pays, les violences policières contre ces derniers, l'absence de recours effectif contre celles-ci et les risques de "push-backs" illégaux.</w:t>
      </w:r>
    </w:p>
    <w:p>
      <w:r>
        <w:rPr>
          <w:b/>
        </w:rPr>
        <w:t>E. 6.2</w:t>
      </w:r>
    </w:p>
    <w:p>
      <w:r>
        <w:t>Conformément à l'art. 3 par. 2 2ème phr.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6.3</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aux art. 3 CEDH et 3 de la Convention du 10 décembre 1984 contre la torture et autres peines ou traitements cruels, inhumains ou dégradants (Conv. torture, RS 0.105).</w:t>
      </w:r>
    </w:p>
    <w:p>
      <w:r>
        <w:rPr>
          <w:b/>
        </w:rPr>
        <w:t>E. 6.4</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Cette présomption de sécurité n'est cependant pas irréfragable et peut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6.5</w:t>
      </w:r>
    </w:p>
    <w:p>
      <w:r>
        <w:t>Le Tribunal a certes admis la forte probabilité, pour des requérants entrant pour la première fois sur le territoire croate, que des refoulements illicites à la frontière, ainsi que des refoulements, sans examen individuel, directement à la frontière ("hot returns") ou encore des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du Tribunal E-1488/2020 précité consid. 9.5).</w:t>
      </w:r>
    </w:p>
    <w:p>
      <w:r>
        <w:rPr>
          <w:b/>
        </w:rPr>
        <w:t>E. 6.6</w:t>
      </w:r>
    </w:p>
    <w:p>
      <w:r>
        <w:t>Par conséquent, l'application de l'art. 3 par. 2 du règlement Dublin III ne se justifie pas en l'espèce. Les explications générales et abstraites du recourant relatives à la situation en Croatie ne permettent pas de parvenir à un constat différent.</w:t>
      </w:r>
    </w:p>
    <w:p>
      <w:r>
        <w:rPr>
          <w:b/>
        </w:rPr>
        <w:t>E. 7.1</w:t>
      </w:r>
    </w:p>
    <w:p>
      <w:r>
        <w:t>Le recourant s'oppose encore à son transfert vers la Croatie, car il y aurait été maltraité par la police lors de son interpellation. Rappelant que, selon lui, ses problèmes psychiques n'avaient pas été suffisamment instruits, il a relevé que les éléments figurant au dossier permettaient de démontrer qu'il avait été victime de mauvais traitements et que son retour en Croatie, où ceux-ci avaient, en partie, eu lieu, emporterait pour lui de graves conséquences psychiques. Dans son complément du 23 mars 2023, il a insisté sur le fait que ce pays n'était pas doté d'un système d'identification des victimes de torture, ce qui empêcherait une prise en charge adéquate le concernant. En outre, il a émis des doutes quant à l'accès à une procédure d'asile équitable et respectueuse des droits fondamentaux. Il a invoqué une violation de l'art. 17 par. 1 du règlement Dublin III en lien avec les art. 3 et 13 CEDH ainsi que 3, 14 et 16 Conv. torture, ainsi qu'en lien avec l'art. 29a al. 3 de l'ordonnance 1 sur l'asile du 11 août 1999 (OA 1, RS 142.311).</w:t>
      </w:r>
    </w:p>
    <w:p>
      <w:r>
        <w:rPr>
          <w:b/>
        </w:rPr>
        <w:t>E. 7.2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Le recourant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En particulier, l'ordre de quitter le territoire croate reçu par l'intéressé paraît cohérent avec le fait que celui-ci n'a pas communiqué son intention d'y déposer une demande d'asile. On ne saurait en conclure que sa demande d'asile, après son dépôt, ne sera pas traitée dans ce pays de manière régulière, étant encore rappelé que les autorités croates ont expressément accepté de le prendre en charge.</w:t>
      </w:r>
    </w:p>
    <w:p>
      <w:r>
        <w:rPr>
          <w:b/>
        </w:rPr>
        <w:t>E. 7.4</w:t>
      </w:r>
    </w:p>
    <w:p>
      <w:r>
        <w:t>Les mauvais traitements qu'il aurait subis lors de son interpellation en Croatie ne sont en l'état ni étayés, ni décisifs, et ne suffisent pas à établir qu'il aurait subi de la part de la police croate des traitements contraires aux art. 3 CEDH ou 3 et 16 Conv. torture. Surtout, les allégations de l'intéressé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Le recourant n'a pas non plus démontré, ni même allégué, que ses conditions d'existence, en cas de retour en Croatie, revêtiraient un tel degré de pénibilité et de gravité qu'elles seraient constitutives d'un traitement contraire aux art. 3 CEDH, 3 Conv. torture et 4 CharteUE, ou encore qu'il serait durablement privé, dans ce pays, de tout accès à des conditions matérielles minimales d'accueil prévues par la directive Accueil. Cela dit,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oeuvrant sur place (cf. arrêt du Tribunal E-2755/2022 du 8 septembre 2022 consid. 5.4 et jurisp. cit.), voire, éventuellement de s'adresser, en cas de besoin, à la CourEDH (cf. arrêt du Tribunal F-1532/2022 du 8 avril 2022 consid. 8.3 et jurisp. cit. ainsi que art. 26 de la directive Accueil).</w:t>
      </w:r>
    </w:p>
    <w:p>
      <w:r>
        <w:rPr>
          <w:b/>
        </w:rPr>
        <w:t>E. 7.5</w:t>
      </w:r>
    </w:p>
    <w:p>
      <w:r>
        <w:t>Le recourant se plaint également d'atteintes à la santé. Il présente un PTSD avec, comme diagnostic différentiel, une dépression et des troubles de l'humeur, ainsi qu'une hépatite B et des troubles de la vue. Le Tribunal relève que son état de santé mentale ne nécessite à ce jour aucune prise en charge particulière, ni l'instauration d'une médication lourde, seul un sédatif étant prescrit au recourant pour pallier aux troubles du sommeil. L'hépatite B a été diagnostiquée depuis plusieurs années sans être traitée ; le médecin a retenu qu'il n'y avait en l'état aucune indication à un traitement de cette affection dans immédiat. Enfin, concernant sa vue, le recourant devrait porter des lunettes.</w:t>
      </w:r>
    </w:p>
    <w:p>
      <w:r>
        <w:rPr>
          <w:b/>
        </w:rPr>
        <w:t>E. 7.5.1</w:t>
      </w:r>
    </w:p>
    <w:p>
      <w:r>
        <w:t>Compte tenu de la jurisprudence restrictive en la matière, il y a lieu de considérer, à l'instar du SEM, que les affections présentées par le recourant ne sont pas d'une gravité telle qu'il se justifierait de renoncer à son transfert vers la Croatie (cf., à ce sujet, arrêt de la Cour européenne des droits de l'homme [CourEDH] Paposhvili c. Belgique, arrêt de la Grande Chambre du 13 décembre 2016 [req. n°41738/10]).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Dès lors, il y a lieu de retenir que l'état de santé du recourant ne saurait faire obstacle à l'exécution de son transfert vers la Croatie.</w:t>
      </w:r>
    </w:p>
    <w:p>
      <w:r>
        <w:rPr>
          <w:b/>
        </w:rPr>
        <w:t>E. 7.5.3</w:t>
      </w:r>
    </w:p>
    <w:p>
      <w:r>
        <w:t>Cela étant, il incombera si nécessaire aux autorités suisses chargées de l'exécution du transfert de transmettre à leurs homologues croates, en temps utile, les renseignements permettant une prise en charge médicale adéquate du recourant (cf. art. 31 et 32 du règlement Dublin III).</w:t>
      </w:r>
    </w:p>
    <w:p>
      <w:r>
        <w:rPr>
          <w:b/>
        </w:rPr>
        <w:t>E. 7.6</w:t>
      </w:r>
    </w:p>
    <w:p>
      <w:r>
        <w:t>Il est encore relevé que l'art. 14 Conv. torture, relatif au droit des victimes d'actes de torture à obtenir réparation, ne trouve pas application en l'espèce (cf. arrêts du Tribunal E-750/2023 du 21 mars 2023 consid. 7.4 ; D-5478/2022 du 2 décembre 2022 consid. 7.7).</w:t>
      </w:r>
    </w:p>
    <w:p>
      <w:r>
        <w:rPr>
          <w:b/>
        </w:rPr>
        <w:t>E. 7.7</w:t>
      </w:r>
    </w:p>
    <w:p>
      <w:r>
        <w:t>Au surplus, la présence en Suisse des oncles du recourant, desquels il aurait été proche lorsqu'il était enfant, ne suffit en l'occurrence pas pour justifier l'application de la clause discrétionnaire de l'art. 17 du règlement Dublin III, étant de surcroît rappelé qu'ils n'entrent pas dans la définition de membres de la famille au sens de l'art. 2 let. g RD III. Les critères d'application de l'art. 16 de ce règlement ne sont à l'évidence pas non plus remplis.</w:t>
      </w:r>
    </w:p>
    <w:p>
      <w:r>
        <w:rPr>
          <w:b/>
        </w:rPr>
        <w:t>E. 7.8</w:t>
      </w:r>
    </w:p>
    <w:p>
      <w:r>
        <w:t>Par conséquent, le transfert de l'intéressé vers la Croatie n'est pas contraire aux obligations découlant de dispositions conventionnelles auxquelles la Suisse est liée.</w:t>
      </w:r>
    </w:p>
    <w:p>
      <w:r>
        <w:rPr>
          <w:b/>
        </w:rPr>
        <w:t>E. 7.9</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8.1</w:t>
      </w:r>
    </w:p>
    <w:p>
      <w:r>
        <w:t>Au vu de ce qui précède, 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Le recours doit par conséquent être rejeté et la décision attaquée confirmée.</w:t>
      </w:r>
    </w:p>
    <w:p>
      <w:r>
        <w:rPr>
          <w:b/>
        </w:rPr>
        <w:t>E. 8.2</w:t>
      </w:r>
    </w:p>
    <w:p>
      <w:r>
        <w:t>S'avérant manifestement infondé au moment où le Tribunal statue, il est rejeté dans une procédure à juge unique, avec l'approbation d'un second juge (art. 111 let. e LAsi). Vu l'issue de la cause, il est, en outre, renoncé à un échange d'écritures (art. 111a al. 1 LAsi).</w:t>
      </w:r>
    </w:p>
    <w:p>
      <w:r>
        <w:rPr>
          <w:b/>
        </w:rPr>
        <w:t>E. 9.1</w:t>
      </w:r>
    </w:p>
    <w:p>
      <w:r>
        <w:t>La demande d'assistance judiciaire partielle devrait être rejetée et les frais de procédure être mis à la charge de l'intéressé, dès lors que les conclusions du recours sont aujourd'hui dénuées de chances de succès et que les conditions cumulatives de l'art. 65 al. 1 PA ne sont ainsi plus réalisées, indépendamment de l'indigence du recourant (cf. art. 63 al. 1 PA et art. 2 et 3 let. a du règlement du 21 février 2008 concernant les frais, dépens et indemnités fixés par le Tribunal administratif fédéral (FITAF, RS 173.320.2).</w:t>
      </w:r>
    </w:p>
    <w:p>
      <w:r>
        <w:rPr>
          <w:b/>
        </w:rPr>
        <w:t>E. 9.2</w:t>
      </w:r>
    </w:p>
    <w:p>
      <w:r>
        <w:t>Compte tenu cependant de la particularité du cas et du fait qu'au moment du dépôt du recours celui-ci n'était pas voué à l'échec, il est renoncé à la perception des frais de procédure (cf.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