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E-1101/2011 vom 17. Dezember 2012</w:t>
      </w:r>
    </w:p>
    <w:p>
      <w:r>
        <w:t>Bundesverwaltungsgericht, 2012-12-17, DE</w:t>
      </w:r>
    </w:p>
    <w:p>
      <w:r>
        <w:rPr>
          <w:b/>
        </w:rPr>
        <w:t xml:space="preserve">Quelle: </w:t>
      </w:r>
      <w:r>
        <w:t>https://mcp.opencaselaw.ch/entscheid/bvger_E-1101_2011</w:t>
      </w:r>
    </w:p>
    <w:p>
      <w:r>
        <w:t>FR: TAF E-1101/2011 du 17 décembre 2012</w:t>
      </w:r>
    </w:p>
    <w:p>
      <w:r>
        <w:t>IT: TAF E-1101/2011 del 17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Beschwerdeeingabe vom 15. Februar 2011 richtet sich ausschliesslich gegen den Vollzug der von der Vorinstanz verfügten Wegweisung. Somit ist die Verfügung des BFM vom 13. Januar 2011 in Rechtskraft erwachsen, soweit sie die Frage des Asyls und der Flüchtlingseigenschaft betrifft und auch die Frage der Wegweisung ist nicht mehr zu überprüfen (vgl. Instruktionsverfügung vom 4. März 2011). Gegenstand des Beschwerdeverfahrens bildet damit einzig die Frage, ob die Wegweisung zu vollziehen oder an 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4.3</w:t>
      </w:r>
    </w:p>
    <w:p>
      <w:r>
        <w:t>Die Vorinstanz wies in ihrer angefochtenen Verfügung zutreffend darauf hin, dass das Prinzip des flüchtlingsrechtlichen Nonrefoulement nur Personen schützt, die die Flüchtlingseigenschaft erfüllen. Da rechtskräftig feststeht, dass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Afghanistan ist demnach unter dem Aspekt von Art. 5 AsylG rechtmässig. Sodann ergeben sich weder aus ihren Aussagen noch aus den Akten konkrete und glaubhafte Anhaltspunkte dafür, dass sie für den Fall einer Ausschaffung nach Afghanistan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Auf­grund der Akten ist nicht davon auszugehen, dass ihnen im Falle einer Rückschiebung nach Afghanistan eine derartige Gefahr droht.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4.4.1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4.4.2</w:t>
      </w:r>
    </w:p>
    <w:p>
      <w:r>
        <w:t>Das Bundesverwaltungsgericht ist aufgrund einer eingehenden Analyse der Lage in Afghanistan zum Schluss gekommen, dass die Sicherheitslage in weiten Teilen Afghanistans nach wie vor so prekär ist und derart schwierige humanitäre Bedingungen herrschen, dass die Situation als existenzbedrohend im Sinne von Art. 83 Abs. 4 AuG zu qualifizieren ist (vgl. BVGE 2011/7 E 9.9.1). Indessen wurde in diesem Entscheid festgehalten, dass von dieser allgemeinen Fest­stellung die Situation in der Hauptstadt Kabul zu unterscheiden sei. Angesichts des Umstandes, dass sich dort die Sicherheitslage im Verlauf des vergangenen Jahres nicht weiter verschlechtert habe und die humanitäre Situation im Vergleich zu den übrigen Gebieten etwas weniger dramatisch sei, könne der Vollzug der Wegweisung nach Kabul unter den bereits von der Schweizerischen Asylrekurskommission (ARK) in deren Rechtsprechung formulierten strengen Bedingungen (tragfähiges soziales Netz, konkrete Möglichkeit der Sicherung des Existenzminimums und der Wohnsituation; vgl. Entscheidungen und Mitteilungen der Schweizerischen Asylrekurskommission [EMARK] 2006 Nr. 9 E. 7.5.3 und 7.8, EMARK 2003 Nr. 10 E. 10 b cc) als zumutbar erachtet werden (BVGE a.a.O. E. 9.9.2). Offengelassen wurde indessen ausdrücklich, ob betref­fend die Städte Herat und Mazar-i-Sharif in gleicher Weise zu ent­schei­den wäre (BVGE a.a.O. E. 9.9.3). In einem späteren Urteil (BVGE 2011/38) hat das Bundesverwaltungsgericht bezüglich der Stadt Herat erkannt, dass sich die Sicherheitslage und die humanitäre Situation in dieser Stadt heute weniger bedrohlich darstellen als in den übrigen Landesteilen Afghanistans. Es sei zwar von einer Verschlechterung der Sicherheitslage im Westen Afghanistans in den letzten Jahren auszugehen, aber die Situation in der Stadt Herat sei gemäss neuesten Berichten verhältnismässig ruhig. Der Vollzug der Wegweisung dorthin könne daher unter der Voraussetzung begünstigender Umstände (insbesondere tragfähiges Beziehungsnetz, Möglichkeit zur Sicherung des Existenzminimums, gesicherte Wohnsituation, guter Gesundheitszustand) zumutbar sein (vgl. BVGE a.a.O., E. 4.3.1 - 4.3.3). Die aktuelle Situation in Afghanistan rechtfertigt ein Abweichen von dieser Praxis nicht.</w:t>
      </w:r>
    </w:p>
    <w:p>
      <w:r>
        <w:rPr>
          <w:b/>
        </w:rPr>
        <w:t>E. 4.4.3</w:t>
      </w:r>
    </w:p>
    <w:p>
      <w:r>
        <w:t>Die Beschwerdeführenden stammen gemäss ihren Angaben aus der Stadt Herat. Sie sind jung, kinderlos und es sind keine gesundheitlichen Probleme aktenkundig. Der Beschwerdeführer war in seinem Herkunftsort zusammen mit seinem Bruder als (...) selbständig erwerbstätig; es kann demnach davon ausgegangen werden, dass er in der Lage sein wird, in seiner Heimat den eigenen Lebensunterhalt und jenen seiner Ehefrau zu bestreiten. Ferner ist zu berücksichtigen, dass er aus einer gutsituierten Familie stammt und in Herat über ein grosses Familiennetz verfügt (mehrere Onkel). Den Eingaben im Beschwerdeverfahren sind keine Anhaltspunkte dafür zu entnehmen, dass sich an der soeben skizzierten Sachlage etwas geändert hätte. Zudem können die Beschwerdeführenden zusammen mit den Eltern und der Schwester des Beschwerdeführers, deren vereinigte Beschwerden ([...] und [...]) vom Bundesverwaltungsgericht mit Urteil vom (...) vollumfänglich abgewiesen worden sind, in ihre Heimat zurückkehren. Unter diesen Umständen kann von einer gesicherten Existenz- und Wohnsituation der Beschwerdeführenden ausgegangen werden. Es liegen hinreichend günstige Faktoren im Sinne der zitierten Rechtsprechung vor und es ist nicht anzunehmen, dass sie bei einer Rückkehr in ihren Heimatstaat in eine existenzielle Notlage geraten könnten. Im Übrigen ist darauf hinzuweisen, dass Herat über einen Flug­hafen verfügt, der von Kabul und weiteren afgha­nischen Städten aus ange­flogen wird, so dass eine Durchquerung unsichererer Landesteile für die Rückkehr der Beschwerdeführer in ihren Herkunftsort nicht erforderlich ist (vgl. BVGE 2011/38 E. 4.3.3.1 S. 820).</w:t>
      </w:r>
    </w:p>
    <w:p>
      <w:r>
        <w:rPr>
          <w:b/>
        </w:rPr>
        <w:t>E. 4.4.4</w:t>
      </w:r>
    </w:p>
    <w:p>
      <w:r>
        <w:t>Nach dem Gesagten kann der Vollzug der Wegweisung in genereller und individueller Hinsicht als zumutbar bezeichnet werden.</w:t>
      </w:r>
    </w:p>
    <w:p>
      <w:r>
        <w:rPr>
          <w:b/>
        </w:rPr>
        <w:t>E. 4.5</w:t>
      </w:r>
    </w:p>
    <w:p>
      <w:r>
        <w:t>Schliesslich obliegt es den Beschwerdeführenden, sich bei der zuständigen Vertretung des Heimatstaates die für eine Rückkehr notwendigen Reisedokumente zu beschaffen (Art. 8 Abs. 4 AsylG; dazu vgl. BVGE 2008/34 E. 12 S. 513 - 515), weshalb der Vollzug der Wegweisung auch als möglich zu bezeichnen ist (Art. 83 Abs. 2 AuG).</w:t>
      </w:r>
    </w:p>
    <w:p>
      <w:r>
        <w:rPr>
          <w:b/>
        </w:rPr>
        <w:t>E. 4.6</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6</w:t>
      </w:r>
    </w:p>
    <w:p>
      <w:r>
        <w:t>Bei diesem Ausgang des Verfahrens wären die Kosten den Beschwer­deführenden aufzuerlegen (Art. 63 Abs. 1 VwVG). Da indessen mit Zwischenverfügung des Bundesverwaltungsgerichts vom 4. März 2011 das Gesuch der Beschwerdeführenden um Gewährung der unentgeltlichen Rechtspflege gemäss Art. 65 Abs. 1 VwVG gutgeheissen wurde und keine Anhaltspunkte dafür bestehen, dass sich ihre finanzielle Lage seither entscheidrelevant verändert hätte, wird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