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E-1100/2024 vom 5. März 2024</w:t>
      </w:r>
    </w:p>
    <w:p>
      <w:r>
        <w:t>Bundesverwaltungsgericht, 2024-03-05, DE</w:t>
      </w:r>
    </w:p>
    <w:p>
      <w:r>
        <w:rPr>
          <w:b/>
        </w:rPr>
        <w:t xml:space="preserve">Quelle: </w:t>
      </w:r>
      <w:r>
        <w:t>https://mcp.opencaselaw.ch/entscheid/bvger_E-1100_2024</w:t>
      </w:r>
    </w:p>
    <w:p>
      <w:r>
        <w:t>FR: TAF E-1100/2024 du 5 mars 2024</w:t>
      </w:r>
    </w:p>
    <w:p>
      <w:r>
        <w:t>IT: TAF E-1100/2024 del 5 marzo 2024</w:t>
      </w:r>
    </w:p>
    <w:p>
      <w:pPr>
        <w:pStyle w:val="Heading2"/>
      </w:pPr>
      <w:r>
        <w:t>Regeste</w:t>
      </w:r>
    </w:p>
    <w:p>
      <w:r>
        <w:t>Nichteintreten auf Asylgesuch und Wegweisung (Dublin-Verfahren - Art. 31a Abs. 1 Bst. b AsylG)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des Reglements vom 21. Februar 2008 über die Kosten und</w:t>
      </w:r>
    </w:p>
    <w:p>
      <w:r>
        <w:t>E-1100/2024 Seite 8 Entschädigungen vor dem Bundesverwaltungsgericht [VGKE, SR 173.320.2]) dem Beschwerdeführer aufzuerlegen sind (Art. 63 Abs. 1 VwVG).</w:t>
      </w:r>
    </w:p>
    <w:p>
      <w:r>
        <w:t>(Dispositiv nächste Seite)</w:t>
      </w:r>
    </w:p>
    <w:p>
      <w:r>
        <w:t>E-1100/2024 Seite 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