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E-1100/2023 vom 3. Mai 2023</w:t>
      </w:r>
    </w:p>
    <w:p>
      <w:r>
        <w:t>Bundesverwaltungsgericht, 2023-05-03, FR</w:t>
      </w:r>
    </w:p>
    <w:p>
      <w:r>
        <w:rPr>
          <w:b/>
        </w:rPr>
        <w:t xml:space="preserve">Quelle: </w:t>
      </w:r>
      <w:r>
        <w:t>https://mcp.opencaselaw.ch/entscheid/bvger_E-1100_2023</w:t>
      </w:r>
    </w:p>
    <w:p>
      <w:r>
        <w:t>FR: TAF E-1100/2023 du 3 mai 2023</w:t>
      </w:r>
    </w:p>
    <w:p>
      <w:r>
        <w:t>IT: TAF E-1100/2023 del 3 maggio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w:t>
      </w:r>
    </w:p>
    <w:p>
      <w:r>
        <w:t>E-1100/2023 Page 5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 A l’appui de sa conclusion en cassation, l’intéressé se plaint en effet d’une instruction insuffisante de l’état de fait relatif à son état de santé. Il reproche en particulier au SEM d’avoir statué sans se baser sur un diagnostic précis en lien avec son diabète et sa santé psychique. Il fait en outre valoir une violation par l’autorité inférieure de son devoir d’instruction et de motivation en ce qui concerne ses allégations sur la situation actuelle en Croatie.</w:t>
      </w:r>
    </w:p>
    <w:p>
      <w:r>
        <w:rPr>
          <w:b/>
        </w:rPr>
        <w:t>E. 3.2</w:t>
      </w:r>
    </w:p>
    <w:p>
      <w:r>
        <w:t>S’agissant de l’état de santé du recourant, force est d’abord de constater que celui-ci a pu consulter tant l’infirmerie du centre de B._______ que des médecins, qu’une prise en charge médicale a été mise en place et que des diagnostics ont été posés. Le fait que son diabète n’ait pas fait l’objet d’un diagnostic définitif n’est pas déterminant en soi, dès lors que le SEM a dûment tenu compte de cette pathologie dans son analyse et motivé sa décision en conséquence. Quant à la problématique psychique, s’il est vrai que le recourant n’avait pas encore pu entamer de suivi avant le prononcé de la décision querellée – vraisemblablement pour des raisons logistiques –, il ressort du dossier qu’une consultation a néanmoins pu avoir lieu depuis lors, à l’occasion de laquelle un diagnostic a été posé et une médication lui a été administrée. Dans ces conditions, même à admettre un manquement de la part du SEM, il y aurait lieu de considérer la violation comme guérie, respectivement l’établissement des faits valablement complété en procédure de recours.</w:t>
      </w:r>
    </w:p>
    <w:p>
      <w:r>
        <w:t>E-1100/2023 Page 6 A noter pour le surplus que le grief du recourant tiré d’une violation du devoir d’instruction et de motivation du SEM en lien avec les allégations portant sur la situation actuelle en Croatie relève davantage du fond que de la forme et sera en conséquence examiné ci-après. Il sied toutefois de rappeler à ce stade que dans le cadre de l’art. 35 PA, l’autorité n’a pas l’obligation d’exposer et de discuter tous les faits, moyens de preuve et griefs invoqués par les parties, mais peut se limiter à l’examen des questions décisives pour l’issue du litige. Ce principe vaut d’autant plus dans le cadre d’une procédure de non-entrée en matière, comme en l’espèce (cf. art. 37a LAsi), dont la décision est motivée de manière sommaire. En tout état de cause, le SEM a tenu compte des allégations du requérant sur les mauvais traitements subis et procédé à un véritable examen sous cet angle.</w:t>
      </w:r>
    </w:p>
    <w:p>
      <w:r>
        <w:rPr>
          <w:b/>
        </w:rPr>
        <w:t>E. 3.3</w:t>
      </w:r>
    </w:p>
    <w:p>
      <w:r>
        <w:t>Partant, les griefs formels invoqués dans le recours doivent être rejetés.</w:t>
      </w:r>
    </w:p>
    <w:p>
      <w:r>
        <w:rPr>
          <w:b/>
        </w:rPr>
        <w:t>E. 4.1</w:t>
      </w:r>
    </w:p>
    <w:p>
      <w:r>
        <w:t>; 2010/45 consid. 5, 7.2, 8.2, 10.2), le SEM doit admettre la responsabilité de la Suisse pour examiner une demande de protection</w:t>
      </w:r>
    </w:p>
    <w:p>
      <w:r>
        <w:t>E-1100/2023 Page 10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4.4</w:t>
      </w:r>
    </w:p>
    <w:p>
      <w:r>
        <w:t>Dans une procédure de prise en charge (anglais : take charge), comme c’est le cas en l’espèce, les critères énumérés au chapitre III du règlement (cf. art. 8 à 15) doivent être appliqués successivement (principe de</w:t>
      </w:r>
    </w:p>
    <w:p>
      <w:r>
        <w:t>E-1100/2023 Page 7 l'application hiérarchique des critères de compétence, cf. art. 7 par. 1 du règlement Dublin III). Pour ce faire, il y a lieu de se baser sur la situation existant au moment du dépôt de la première demande dans un Etat membre (art. 7 par. 2 du règlement Dublin III).</w:t>
      </w:r>
    </w:p>
    <w:p>
      <w:r>
        <w:rPr>
          <w:b/>
        </w:rPr>
        <w:t>E. 4.5</w:t>
      </w:r>
    </w:p>
    <w:p>
      <w:r>
        <w:t>En application de l'art. 13 par. 1 du règlement Dublin III, lorsqu'il est établi, sur la base de preuves ou d'indices tels qu'ils figurent dans les deux listes mentionnées à l'art. 22 par. 3 dudit règlement, notamment des données visées au règlement (UE) no 603/2013 du Parlement européen et du Conseil du 26 juin 2013 relatif à la création d'Eurodac (ci-après : règlement UE no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la compétence de la Croatie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21 par. 1 et 22 par. 1 du règlement Dublin III ayant été respectés.</w:t>
      </w:r>
    </w:p>
    <w:p>
      <w:r>
        <w:rPr>
          <w:b/>
        </w:rPr>
        <w:t>E. 5.2</w:t>
      </w:r>
    </w:p>
    <w:p>
      <w:r>
        <w:t>Le recourant s’oppose toutefois à son transfert en Croatie au motif que ce pays présente des défaillances systémiques dans la procédure d’asile. Se fondant sur plusieurs rapports établis par différents organismes actifs en matière d’asile, il invoque, de manière générale, les conditions d’accueil des requérants d’asile dans ce pays, les violences policières contre ces derniers, l’absence de recours effectif contre celles-ci, les risques de « push-backs » illégaux et les difficultés d’accès aux soins. Réitérant ses déclarations selon lesquelles il aurait été violenté par les forces de l’ordre croates, il fait également valoir une violation par le SEM des art. 17 par. 1 du règlement Dublin III, ainsi que des art. 3 et 13 CEDH (RS 0.101), 3 et 14 de la Convention du 10 décembre 1984 contre la torture et autres peines ou traitements cruels, inhumains ou dégradants (Conv. torture, RS 0.105) et 29a al. 3 de l’Ordonnance 1 sur l’asile relative à la procédure (OA 1, RS 142.311).</w:t>
      </w:r>
    </w:p>
    <w:p>
      <w:r>
        <w:t>E-1100/2023 Page 8</w:t>
      </w:r>
    </w:p>
    <w:p>
      <w:r>
        <w:rPr>
          <w:b/>
        </w:rPr>
        <w:t>E. 6.1</w:t>
      </w:r>
    </w:p>
    <w:p>
      <w:r>
        <w:t>A teneur de l'art. 3 par. 2 2ème phr.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6.2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t>E-1100/2023 Page 9</w:t>
      </w:r>
    </w:p>
    <w:p>
      <w:r>
        <w:rPr>
          <w:b/>
        </w:rPr>
        <w:t>E. 6.4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 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6.5</w:t>
      </w:r>
    </w:p>
    <w:p>
      <w:r>
        <w:t>Sur la base de cette nouvelle jurisprudence, l'application de l'art. 3 al. 2 du règlement Dublin III ne se justifie pas en l'espèce. Les explications du recourant relatives à la situation en Croatie ne permettant pas de parvenir à un constat différent.</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w:t>
      </w:r>
    </w:p>
    <w:p>
      <w:r>
        <w:rPr>
          <w:b/>
        </w:rPr>
        <w:t>E. 7.2</w:t>
      </w:r>
    </w:p>
    <w:p>
      <w:r>
        <w:t>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De même, il n’a fourni aucun élément concret susceptible de démontrer que les autorités croates refuseraient de le prendre en charge et de mener une procédure d’examen de sa demande de protection internationale, en violation de la directive Procédure. Certes, il a déclaré avoir été traité sans égard par les policiers à son arrivée en Croatie. Force est toutefois de constater, ainsi que le SEM l’a relevé, que ces déclarations se limitent à de simples allégations qu’aucun élément ni moyen de preuve déterminant ne viennent étayer. En outre et surtout, celles-ci ne sont pas décisives quant à la conformité de son transfert au regard des art. 3 CEDH et 3 Conv. torture, dès lors qu’il n’existe aucune raison concrète et sérieuse d’admettre que son transfert à Zagreb risquerait de l’exposer à une situation similaire à celle qu’il dit avoir connue après son interpellation en zone frontalière en tant que personne étrangère en situation irrégulière. Le recourant n'a pas non plus démontré que ses conditions d'existence, en cas de retour en Croatie, revêtiraient un tel degré de pénibilité et de gravité qu'elles seraient constitutives d'un traitement contraire aux art. 3 CEDH, 3 Conv. torture et 4 CharteUE, ou encore qu’il serait durablement privé, dans ce pays, de tout accès à des conditions matérielles minimales d'accueil prévues par la directive Accueil et qu'il ne pourrait pas bénéficier de l'aide dont il pourrait avoir besoin pour faire valoir ses droits.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Aucune violation de l’art. 13 CEDH ne saurait dès lors être retenue.</w:t>
      </w:r>
    </w:p>
    <w:p>
      <w:r>
        <w:t>E-1100/2023 Page 11</w:t>
      </w:r>
    </w:p>
    <w:p>
      <w:r>
        <w:rPr>
          <w:b/>
        </w:rPr>
        <w:t>E. 7.3</w:t>
      </w:r>
    </w:p>
    <w:p>
      <w:r>
        <w:t>A noter encore que l’art. 14 Conv. torture, relatif au droit des victimes d’actes de torture à obtenir réparation, ne trouve pas application en l’espèce (cf. arrêts du Tribunal E-750/2023 consid. 7.4 ; D-5478/2022 consid. 7.7).</w:t>
      </w:r>
    </w:p>
    <w:p>
      <w:r>
        <w:rPr>
          <w:b/>
        </w:rPr>
        <w:t>E. 7.4</w:t>
      </w:r>
    </w:p>
    <w:p>
      <w:r>
        <w:t>S’agissant de l’état de santé du recourant, il ressort du dossier que celui-ci est atteint, sur le plan somatique, d’une hypertension artérielle ainsi que d’un probable diabète de type 2. Sur le plan psychique, il présente un PTSD ainsi qu’un épisode dépressif moyen, lequel nécessite la prise d’un traitement médicamenteux antidépresseur ainsi que la poursuite d’un suivi psychiatrique. Compte tenu de la jurisprudence restrictive en la matière, il y a toutefois lieu de considérer que ces problèmes de santé ne sont pas d’une gravité telle qu’il se justifierait de renoncer à son transfert vers la Croatie (cf., à ce sujet, arrêt Paposhvili c. Belgique du 13 décembre 2016, GC, requête n° 41738/10). En effet, rien n’indique que l’intéressé présente des affections d’une gravité ou d’une spécificité telle qu’elles ne pourraient pas être traitées en Croatie, comme notamment le diabète dont il souffre (cf. arrêts du Tribunal E-920/2023 du 23 février 2023 consid. 7.6.1 ; E-5206/2022 du 23 novembre 2022 consid. 6.3.5 et réf. cit.). En tout état de cause, on rappellera que la Croatie, qui est liée par la directive Accueil, doit faire en sorte que les demandeurs d'asile reçoivent la prise en charge médicale nécessaire qui comporte,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Cela dit,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7.5</w:t>
      </w:r>
    </w:p>
    <w:p>
      <w:r>
        <w:t>Par conséquent, le transfert du recourant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RD III en combinaison avec l'art. 29a al. 3 OA 1 (cf. ATAF 2015/9 consid. 8).</w:t>
      </w:r>
    </w:p>
    <w:p>
      <w:r>
        <w:t>E-1100/2023 Page 12</w:t>
      </w:r>
    </w:p>
    <w:p>
      <w:r>
        <w:rPr>
          <w:b/>
        </w:rPr>
        <w:t>E. 7.6</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7.7</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En l'occurrence, le présent arrêt est rendu postérieurement à l'arrêt de référence du Tribunal E-1488/2020 précité. Le recours est dès lors devenu manifestement infondé dans l’intervalle, raison pour laquelle il est tranché par un juge unique avec l’accord d’un deuxième juge (cf. art. 111 let. e LAsi). Il est renoncé à un échange d’écritures, le présent arrêt n’étant motivé que sommairement (cf. art. 111a al. 1 et 2 LAsi).</w:t>
      </w:r>
    </w:p>
    <w:p>
      <w:r>
        <w:rPr>
          <w:b/>
        </w:rPr>
        <w:t>E. 10</w:t>
      </w:r>
    </w:p>
    <w:p>
      <w:r>
        <w:t>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Dans la mesure toutefois où la demande d’assistance judiciaire partielle a été admise par décision incidente du 28 février 2023, il est statué sans frais.</w:t>
      </w:r>
    </w:p>
    <w:p>
      <w:r>
        <w:t>E-1100/2023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