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E-109/2015 vom 11. April 2016</w:t>
      </w:r>
    </w:p>
    <w:p>
      <w:r>
        <w:t>Bundesverwaltungsgericht, 2016-04-11, DE</w:t>
      </w:r>
    </w:p>
    <w:p>
      <w:r>
        <w:rPr>
          <w:b/>
        </w:rPr>
        <w:t xml:space="preserve">Quelle: </w:t>
      </w:r>
      <w:r>
        <w:t>https://mcp.opencaselaw.ch/entscheid/bvger_E-109_2015</w:t>
      </w:r>
    </w:p>
    <w:p>
      <w:r>
        <w:t>FR: TAF E-109/2015 du 11 avril 2016</w:t>
      </w:r>
    </w:p>
    <w:p>
      <w:r>
        <w:t>IT: TAF E-109/2015 del 11 aprile 2016</w:t>
      </w:r>
    </w:p>
    <w:p>
      <w:pPr>
        <w:pStyle w:val="Heading2"/>
      </w:pPr>
      <w:r>
        <w:t>Regeste</w:t>
      </w:r>
    </w:p>
    <w:p>
      <w:r>
        <w:t>Asylgesuch aus dem Ausland und Einreisebewilligung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VwVG). Auf die frist- und formgerecht eingereichte Beschwerde (Art. 108 Abs. 1 und 5 AsylG und Art. 52 Abs. 1 VwVG) ist einzutreten.</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Die Vorinstanz hat die angefochtene Verfügung ausführlich begründet. Sie kommt zum Schluss, dass keine unmittelbare Gefährdung vorliege, welche eine sofortige Einreise als notwendig erscheinen lasse. Ferner hält sie fest, dass keine konkreten Anhaltspunkte dafür vorliegen würden, dass den Beschwerdeführenden im Zeitpunkt ihrer Ausreise aus Sri Lanka ernstzunehmende Schwierigkeiten mit den heimatlichen Behörden oder Dritten gehabt hätten oder ihnen solche drohen würden.</w:t>
      </w:r>
    </w:p>
    <w:p>
      <w:r>
        <w:rPr>
          <w:b/>
        </w:rPr>
        <w:t>E. 5.2</w:t>
      </w:r>
    </w:p>
    <w:p>
      <w:r>
        <w:t>Die Beweiswürdigung der Vorinstanz ist nicht zu beanstanden. Die Beschwerdeführenden setzen sich damit nicht auseinander. Mit dem blossen Wiederholen des aktenkundigen Sachverhalts zeigen sie nicht auf, inwiefern die angefochtene Verfügung Bundesrecht verletzen oder den Sachverhalt rechtsfehlerhaft feststellen soll. Solches lässt sich auch nicht annehmen. Insbesondere trifft zu, dass keine konkreten oder glaubhaften Anhaltspunkte dafür vorliegen, dass die Beschwerdeführenden im Zeitpunkt ihrer Ausreise aus Sri Lanka respektive während ihres Aufenthalts in Malaysia von einreiserelevanten Nachteilen bedroht waren oder solche erlitten hätten. Dies zeigt insbesondere der Besuch des Beschwerdeführers für die Hochzeit einer Schwester in Sri Lanka auf. Während seines Aufenthaltes sei er von den Behörden befragt worden. Dieser Befragung kommt aufgrund der mangelnden Intensität kein Verfolgungscharakter zu, weshalb nicht von einer akuten Gefährdung beziehungsweise von einer asylrechtlich relevanten Verfolgung ausgegangen werden kann. Wären die Beschwerdeführenden in Sri Lanka tatsächlich gefährdet, darf davon ausgegangen werden, dass der Beschwerdeführer nicht so unproblematisch ins Land ein- und ausreisen hätte können. Sodann ist festzuhalten, dass die Ausführungen auf Beschwerdeebene zur allgemeinen Menschenrechtslage in Sri Lanka für das vorliegende Verfahren mangels unmittelbarem Bezug zu den Beschwerdeführenden irrelevant sind, weshalb sich eine Auseinandersetzung mit denselben erübrigt. Es kann im Weiteren auf die zutreffende vorinstanzliche Verfügung verwiesen werden, welche nicht zu beanstanden ist. Aus den eingereichten Dokumenten können die Beschwerdeführenden nichts zu ihren Gunsten ableiten. Zusammenfassend ergibt sich, dass vorliegend nicht ersichtlich ist, dass die Beschwerdeführenden auf die Schutzgewährung durch die Schweiz angewiesen sind. Die Vorinstanz hat ihnen die Einreise in die Schweiz zurecht verweigert und das Asylgesuch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den Beschwerdeführenden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